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F03E7F">
      <w:pPr>
        <w:ind w:left="426" w:right="-17"/>
        <w:jc w:val="center"/>
        <w:rPr>
          <w:rFonts w:ascii="Arial" w:hAnsi="Arial" w:cs="Arial"/>
          <w:b/>
        </w:rPr>
      </w:pPr>
      <w:bookmarkStart w:id="0" w:name="_Hlk142658039"/>
      <w:r>
        <w:rPr>
          <w:rFonts w:ascii="Arial" w:hAnsi="Arial" w:cs="Arial"/>
          <w:b/>
        </w:rPr>
        <w:t>ANEXO VII</w:t>
      </w:r>
    </w:p>
    <w:p w14:paraId="66EA7DE1">
      <w:pPr>
        <w:ind w:left="426" w:right="-17"/>
        <w:jc w:val="center"/>
        <w:rPr>
          <w:rFonts w:ascii="Arial" w:hAnsi="Arial" w:cs="Arial"/>
          <w:b/>
        </w:rPr>
      </w:pPr>
    </w:p>
    <w:p w14:paraId="0E1E0135">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3FB26E62">
      <w:pPr>
        <w:ind w:left="426" w:right="-17"/>
        <w:jc w:val="center"/>
        <w:rPr>
          <w:rFonts w:ascii="Arial" w:hAnsi="Arial" w:cs="Arial"/>
          <w:b/>
        </w:rPr>
      </w:pPr>
    </w:p>
    <w:p w14:paraId="393C516F">
      <w:pPr>
        <w:ind w:left="4253" w:right="-17"/>
        <w:jc w:val="both"/>
        <w:rPr>
          <w:rFonts w:ascii="Arial" w:hAnsi="Arial" w:cs="Arial"/>
          <w:b/>
        </w:rPr>
      </w:pPr>
    </w:p>
    <w:p w14:paraId="6DA52E18">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7E5E3348">
      <w:pPr>
        <w:spacing w:line="276" w:lineRule="auto"/>
        <w:ind w:left="5103" w:right="-17"/>
        <w:jc w:val="both"/>
        <w:rPr>
          <w:rFonts w:ascii="Arial" w:hAnsi="Arial" w:cs="Arial"/>
          <w:b/>
        </w:rPr>
      </w:pPr>
    </w:p>
    <w:bookmarkEnd w:id="1"/>
    <w:p w14:paraId="1056EAD2">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15.506/2026</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e em observânc</w:t>
      </w:r>
      <w:r>
        <w:rPr>
          <w:rFonts w:ascii="Arial" w:hAnsi="Arial" w:cs="Arial"/>
          <w:sz w:val="22"/>
          <w:szCs w:val="22"/>
          <w:highlight w:val="none"/>
        </w:rPr>
        <w:t xml:space="preserve">ia às disposições da Lei nº 14.133, de 1º de abril de 2021 </w:t>
      </w:r>
      <w:r>
        <w:rPr>
          <w:rFonts w:ascii="Arial" w:hAnsi="Arial" w:cs="Arial"/>
          <w:sz w:val="22"/>
          <w:szCs w:val="22"/>
          <w:highlight w:val="none"/>
          <w:lang w:val="pt-PT"/>
        </w:rPr>
        <w:t>e demais legislações aplicáveis</w:t>
      </w:r>
      <w:r>
        <w:rPr>
          <w:rFonts w:ascii="Arial" w:hAnsi="Arial" w:cs="Arial"/>
          <w:sz w:val="22"/>
          <w:szCs w:val="22"/>
          <w:highlight w:val="none"/>
        </w:rPr>
        <w:t>,</w:t>
      </w:r>
      <w:r>
        <w:rPr>
          <w:rFonts w:ascii="Arial" w:hAnsi="Arial" w:cs="Arial"/>
          <w:i/>
          <w:sz w:val="22"/>
          <w:szCs w:val="22"/>
          <w:highlight w:val="none"/>
        </w:rPr>
        <w:t xml:space="preserve"> </w:t>
      </w:r>
      <w:r>
        <w:rPr>
          <w:rFonts w:ascii="Arial" w:hAnsi="Arial" w:cs="Arial"/>
          <w:sz w:val="22"/>
          <w:szCs w:val="22"/>
          <w:highlight w:val="none"/>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70</w:t>
      </w:r>
      <w:r>
        <w:rPr>
          <w:rFonts w:ascii="Arial" w:hAnsi="Arial" w:cs="Arial"/>
          <w:b/>
          <w:bCs/>
          <w:sz w:val="22"/>
          <w:szCs w:val="22"/>
          <w:highlight w:val="none"/>
        </w:rPr>
        <w:t>/20</w:t>
      </w:r>
      <w:r>
        <w:rPr>
          <w:rFonts w:hint="default" w:ascii="Arial" w:hAnsi="Arial" w:cs="Arial"/>
          <w:b/>
          <w:bCs/>
          <w:sz w:val="22"/>
          <w:szCs w:val="22"/>
          <w:highlight w:val="none"/>
          <w:lang w:val="pt-BR"/>
        </w:rPr>
        <w:t>26</w:t>
      </w:r>
      <w:r>
        <w:rPr>
          <w:rFonts w:ascii="Arial" w:hAnsi="Arial" w:cs="Arial"/>
          <w:sz w:val="22"/>
          <w:szCs w:val="22"/>
          <w:highlight w:val="none"/>
        </w:rPr>
        <w:t>,</w:t>
      </w:r>
      <w:r>
        <w:rPr>
          <w:rFonts w:ascii="Arial" w:hAnsi="Arial" w:cs="Arial"/>
          <w:sz w:val="22"/>
          <w:szCs w:val="22"/>
        </w:rPr>
        <w:t xml:space="preserve"> mediante as cláusulas e condições a seguir enunciadas.</w:t>
      </w:r>
    </w:p>
    <w:p w14:paraId="249A14C2">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683B547B">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w:t>
      </w:r>
      <w:r>
        <w:rPr>
          <w:rFonts w:hint="default" w:ascii="Arial" w:hAnsi="Arial" w:cs="Arial"/>
          <w:bCs/>
          <w:iCs/>
          <w:lang w:val="pt-BR"/>
        </w:rPr>
        <w:t xml:space="preserve"> </w:t>
      </w:r>
      <w:r>
        <w:rPr>
          <w:rFonts w:hint="default" w:ascii="Arial" w:hAnsi="Arial" w:cs="Arial"/>
          <w:b/>
          <w:bCs w:val="0"/>
          <w:iCs/>
          <w:lang w:val="pt-BR" w:eastAsia="pt-BR"/>
        </w:rPr>
        <w:t>AQUISIÇÃO DE INSTRUMENTAL ODONTOLÓGICO, visando suprir as necessidades da Secretaria de Saúde,</w:t>
      </w:r>
      <w:r>
        <w:rPr>
          <w:rFonts w:hint="default" w:ascii="Arial" w:hAnsi="Arial" w:cs="Arial"/>
          <w:b/>
          <w:bCs w:val="0"/>
          <w:iCs/>
          <w:lang w:val="en-US" w:eastAsia="pt-BR"/>
        </w:rPr>
        <w:t xml:space="preserve"> </w:t>
      </w:r>
      <w:r>
        <w:rPr>
          <w:rFonts w:ascii="Arial" w:hAnsi="Arial" w:cs="Arial"/>
          <w:bCs/>
          <w:iCs/>
        </w:rPr>
        <w:t>nas condições estabelecidas no Termo de Referência – Anexo I do edital.</w:t>
      </w:r>
    </w:p>
    <w:p w14:paraId="388BF545">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1C0FB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76538E49">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6BF6DAD7">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7FB757CB">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7B90F25C">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2BB85DDF">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4B09B430">
            <w:pPr>
              <w:pStyle w:val="19"/>
              <w:ind w:left="0"/>
              <w:jc w:val="center"/>
              <w:rPr>
                <w:rFonts w:ascii="Arial" w:hAnsi="Arial" w:cs="Arial"/>
                <w:b/>
              </w:rPr>
            </w:pPr>
            <w:r>
              <w:rPr>
                <w:rFonts w:ascii="Arial" w:hAnsi="Arial" w:cs="Arial"/>
                <w:b/>
              </w:rPr>
              <w:t>VALOR</w:t>
            </w:r>
          </w:p>
        </w:tc>
      </w:tr>
      <w:tr w14:paraId="5BAD9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269A10D1">
            <w:pPr>
              <w:rPr>
                <w:rFonts w:ascii="Arial" w:hAnsi="Arial" w:cs="Arial"/>
              </w:rPr>
            </w:pPr>
          </w:p>
        </w:tc>
        <w:tc>
          <w:tcPr>
            <w:tcW w:w="606" w:type="pct"/>
            <w:vMerge w:val="continue"/>
            <w:shd w:val="clear" w:color="auto" w:fill="D8D8D8"/>
          </w:tcPr>
          <w:p w14:paraId="3707646F">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2D2DF0B9">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1325811B">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664D0474">
            <w:pPr>
              <w:rPr>
                <w:rFonts w:ascii="Arial" w:hAnsi="Arial" w:cs="Arial"/>
              </w:rPr>
            </w:pPr>
          </w:p>
        </w:tc>
        <w:tc>
          <w:tcPr>
            <w:tcW w:w="839" w:type="pct"/>
            <w:shd w:val="clear" w:color="auto" w:fill="D8D8D8"/>
            <w:tcMar>
              <w:top w:w="0" w:type="dxa"/>
              <w:left w:w="108" w:type="dxa"/>
              <w:bottom w:w="0" w:type="dxa"/>
              <w:right w:w="108" w:type="dxa"/>
            </w:tcMar>
            <w:vAlign w:val="center"/>
          </w:tcPr>
          <w:p w14:paraId="0AB0BF31">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550E9B07">
            <w:pPr>
              <w:pStyle w:val="19"/>
              <w:ind w:left="0"/>
              <w:jc w:val="center"/>
              <w:rPr>
                <w:rFonts w:ascii="Arial" w:hAnsi="Arial" w:cs="Arial"/>
                <w:b/>
              </w:rPr>
            </w:pPr>
            <w:r>
              <w:rPr>
                <w:rFonts w:ascii="Arial" w:hAnsi="Arial" w:cs="Arial"/>
                <w:b/>
              </w:rPr>
              <w:t>TOTAL</w:t>
            </w:r>
          </w:p>
        </w:tc>
      </w:tr>
      <w:tr w14:paraId="30507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099BA662">
            <w:pPr>
              <w:pStyle w:val="38"/>
              <w:jc w:val="center"/>
              <w:rPr>
                <w:rFonts w:ascii="Arial" w:hAnsi="Arial" w:cs="Arial"/>
                <w:b/>
              </w:rPr>
            </w:pPr>
            <w:r>
              <w:rPr>
                <w:rFonts w:ascii="Arial" w:hAnsi="Arial" w:cs="Arial"/>
                <w:b/>
              </w:rPr>
              <w:t>1</w:t>
            </w:r>
          </w:p>
        </w:tc>
        <w:tc>
          <w:tcPr>
            <w:tcW w:w="606" w:type="pct"/>
          </w:tcPr>
          <w:p w14:paraId="4D2DAE2B">
            <w:pPr>
              <w:pStyle w:val="38"/>
              <w:jc w:val="both"/>
              <w:rPr>
                <w:rFonts w:ascii="Arial" w:hAnsi="Arial" w:cs="Arial"/>
              </w:rPr>
            </w:pPr>
          </w:p>
        </w:tc>
        <w:tc>
          <w:tcPr>
            <w:tcW w:w="1328" w:type="pct"/>
            <w:tcMar>
              <w:top w:w="0" w:type="dxa"/>
              <w:left w:w="108" w:type="dxa"/>
              <w:bottom w:w="0" w:type="dxa"/>
              <w:right w:w="108" w:type="dxa"/>
            </w:tcMar>
            <w:vAlign w:val="center"/>
          </w:tcPr>
          <w:p w14:paraId="3F2BFC6C">
            <w:pPr>
              <w:pStyle w:val="38"/>
              <w:jc w:val="both"/>
              <w:rPr>
                <w:rFonts w:ascii="Arial" w:hAnsi="Arial" w:cs="Arial"/>
              </w:rPr>
            </w:pPr>
          </w:p>
        </w:tc>
        <w:tc>
          <w:tcPr>
            <w:tcW w:w="534" w:type="pct"/>
            <w:tcMar>
              <w:top w:w="0" w:type="dxa"/>
              <w:left w:w="108" w:type="dxa"/>
              <w:bottom w:w="0" w:type="dxa"/>
              <w:right w:w="108" w:type="dxa"/>
            </w:tcMar>
            <w:vAlign w:val="center"/>
          </w:tcPr>
          <w:p w14:paraId="799184B8">
            <w:pPr>
              <w:pStyle w:val="38"/>
              <w:jc w:val="center"/>
              <w:rPr>
                <w:rFonts w:ascii="Arial" w:hAnsi="Arial" w:cs="Arial"/>
              </w:rPr>
            </w:pPr>
          </w:p>
        </w:tc>
        <w:tc>
          <w:tcPr>
            <w:tcW w:w="583" w:type="pct"/>
            <w:tcMar>
              <w:top w:w="0" w:type="dxa"/>
              <w:left w:w="108" w:type="dxa"/>
              <w:bottom w:w="0" w:type="dxa"/>
              <w:right w:w="108" w:type="dxa"/>
            </w:tcMar>
            <w:vAlign w:val="center"/>
          </w:tcPr>
          <w:p w14:paraId="42E1750F">
            <w:pPr>
              <w:pStyle w:val="38"/>
              <w:jc w:val="center"/>
              <w:rPr>
                <w:rFonts w:ascii="Arial" w:hAnsi="Arial" w:cs="Arial"/>
                <w:b/>
              </w:rPr>
            </w:pPr>
          </w:p>
        </w:tc>
        <w:tc>
          <w:tcPr>
            <w:tcW w:w="839" w:type="pct"/>
            <w:tcMar>
              <w:top w:w="0" w:type="dxa"/>
              <w:left w:w="108" w:type="dxa"/>
              <w:bottom w:w="0" w:type="dxa"/>
              <w:right w:w="108" w:type="dxa"/>
            </w:tcMar>
            <w:vAlign w:val="center"/>
          </w:tcPr>
          <w:p w14:paraId="0DDA8E92">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44FA9776">
            <w:pPr>
              <w:pStyle w:val="38"/>
              <w:spacing w:after="0" w:line="240" w:lineRule="auto"/>
              <w:jc w:val="right"/>
              <w:rPr>
                <w:rFonts w:ascii="Arial" w:hAnsi="Arial" w:cs="Arial"/>
                <w:b/>
                <w:bCs/>
              </w:rPr>
            </w:pPr>
          </w:p>
        </w:tc>
      </w:tr>
      <w:tr w14:paraId="1487E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53C586A6">
            <w:pPr>
              <w:pStyle w:val="38"/>
              <w:jc w:val="center"/>
              <w:rPr>
                <w:rFonts w:ascii="Arial" w:hAnsi="Arial" w:cs="Arial"/>
                <w:b/>
              </w:rPr>
            </w:pPr>
            <w:r>
              <w:rPr>
                <w:rFonts w:ascii="Arial" w:hAnsi="Arial" w:cs="Arial"/>
                <w:b/>
              </w:rPr>
              <w:t>…</w:t>
            </w:r>
          </w:p>
        </w:tc>
        <w:tc>
          <w:tcPr>
            <w:tcW w:w="606" w:type="pct"/>
          </w:tcPr>
          <w:p w14:paraId="4A4EAD58">
            <w:pPr>
              <w:pStyle w:val="38"/>
              <w:jc w:val="both"/>
              <w:rPr>
                <w:rFonts w:ascii="Arial" w:hAnsi="Arial" w:cs="Arial"/>
              </w:rPr>
            </w:pPr>
          </w:p>
        </w:tc>
        <w:tc>
          <w:tcPr>
            <w:tcW w:w="1328" w:type="pct"/>
            <w:tcMar>
              <w:top w:w="0" w:type="dxa"/>
              <w:left w:w="108" w:type="dxa"/>
              <w:bottom w:w="0" w:type="dxa"/>
              <w:right w:w="108" w:type="dxa"/>
            </w:tcMar>
            <w:vAlign w:val="center"/>
          </w:tcPr>
          <w:p w14:paraId="36EB2788">
            <w:pPr>
              <w:pStyle w:val="38"/>
              <w:jc w:val="both"/>
              <w:rPr>
                <w:rFonts w:ascii="Arial" w:hAnsi="Arial" w:cs="Arial"/>
              </w:rPr>
            </w:pPr>
          </w:p>
        </w:tc>
        <w:tc>
          <w:tcPr>
            <w:tcW w:w="534" w:type="pct"/>
            <w:tcMar>
              <w:top w:w="0" w:type="dxa"/>
              <w:left w:w="108" w:type="dxa"/>
              <w:bottom w:w="0" w:type="dxa"/>
              <w:right w:w="108" w:type="dxa"/>
            </w:tcMar>
            <w:vAlign w:val="center"/>
          </w:tcPr>
          <w:p w14:paraId="6992999F">
            <w:pPr>
              <w:pStyle w:val="38"/>
              <w:jc w:val="center"/>
              <w:rPr>
                <w:rFonts w:ascii="Arial" w:hAnsi="Arial" w:cs="Arial"/>
              </w:rPr>
            </w:pPr>
          </w:p>
        </w:tc>
        <w:tc>
          <w:tcPr>
            <w:tcW w:w="583" w:type="pct"/>
            <w:tcMar>
              <w:top w:w="0" w:type="dxa"/>
              <w:left w:w="108" w:type="dxa"/>
              <w:bottom w:w="0" w:type="dxa"/>
              <w:right w:w="108" w:type="dxa"/>
            </w:tcMar>
            <w:vAlign w:val="center"/>
          </w:tcPr>
          <w:p w14:paraId="0B4434AE">
            <w:pPr>
              <w:pStyle w:val="38"/>
              <w:jc w:val="center"/>
              <w:rPr>
                <w:rFonts w:ascii="Arial" w:hAnsi="Arial" w:cs="Arial"/>
                <w:b/>
              </w:rPr>
            </w:pPr>
          </w:p>
        </w:tc>
        <w:tc>
          <w:tcPr>
            <w:tcW w:w="839" w:type="pct"/>
            <w:tcMar>
              <w:top w:w="0" w:type="dxa"/>
              <w:left w:w="108" w:type="dxa"/>
              <w:bottom w:w="0" w:type="dxa"/>
              <w:right w:w="108" w:type="dxa"/>
            </w:tcMar>
            <w:vAlign w:val="center"/>
          </w:tcPr>
          <w:p w14:paraId="7C02F4BE">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12B724EC">
            <w:pPr>
              <w:pStyle w:val="38"/>
              <w:spacing w:after="0" w:line="240" w:lineRule="auto"/>
              <w:jc w:val="right"/>
              <w:rPr>
                <w:rFonts w:ascii="Arial" w:hAnsi="Arial" w:cs="Arial"/>
                <w:b/>
                <w:bCs/>
              </w:rPr>
            </w:pPr>
          </w:p>
        </w:tc>
      </w:tr>
    </w:tbl>
    <w:p w14:paraId="3E4AABFA">
      <w:pPr>
        <w:pStyle w:val="19"/>
        <w:widowControl/>
        <w:tabs>
          <w:tab w:val="left" w:pos="426"/>
        </w:tabs>
        <w:autoSpaceDE/>
        <w:autoSpaceDN/>
        <w:spacing w:before="120" w:after="120" w:line="276" w:lineRule="auto"/>
        <w:ind w:left="0"/>
        <w:jc w:val="both"/>
        <w:rPr>
          <w:rFonts w:ascii="Arial" w:hAnsi="Arial" w:cs="Arial"/>
          <w:iCs/>
        </w:rPr>
      </w:pPr>
    </w:p>
    <w:p w14:paraId="41417A4D">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40E15E05">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523F5FA6">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437E68D1">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40117BC0">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02F2FC41">
      <w:pPr>
        <w:pStyle w:val="19"/>
        <w:widowControl/>
        <w:tabs>
          <w:tab w:val="left" w:pos="426"/>
        </w:tabs>
        <w:autoSpaceDE/>
        <w:autoSpaceDN/>
        <w:spacing w:before="120" w:after="120" w:line="276" w:lineRule="auto"/>
        <w:ind w:left="862"/>
        <w:jc w:val="both"/>
        <w:rPr>
          <w:rFonts w:ascii="Arial" w:hAnsi="Arial" w:cs="Arial"/>
          <w:bCs/>
        </w:rPr>
      </w:pPr>
    </w:p>
    <w:p w14:paraId="5017D72A">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20F048E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14:paraId="78753AD9">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condições e os preços permanecem vantajosos para a Administração, permitida a negociação com o contratado.</w:t>
      </w:r>
    </w:p>
    <w:p w14:paraId="760184C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14:paraId="25D7655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14:paraId="745C74F9">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14:paraId="6FD16744">
      <w:pPr>
        <w:pStyle w:val="19"/>
        <w:widowControl/>
        <w:tabs>
          <w:tab w:val="left" w:pos="426"/>
        </w:tabs>
        <w:autoSpaceDE/>
        <w:autoSpaceDN/>
        <w:spacing w:before="120" w:after="120" w:line="276" w:lineRule="auto"/>
        <w:ind w:left="0"/>
        <w:jc w:val="both"/>
        <w:rPr>
          <w:rFonts w:ascii="Arial" w:hAnsi="Arial" w:cs="Arial"/>
          <w:bCs/>
          <w:iCs/>
          <w:color w:val="FF0000"/>
        </w:rPr>
      </w:pPr>
    </w:p>
    <w:p w14:paraId="47111B60">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53B10ED7">
      <w:pPr>
        <w:pStyle w:val="19"/>
        <w:widowControl/>
        <w:numPr>
          <w:ilvl w:val="1"/>
          <w:numId w:val="3"/>
        </w:numPr>
        <w:tabs>
          <w:tab w:val="left" w:pos="426"/>
        </w:tabs>
        <w:autoSpaceDE/>
        <w:autoSpaceDN/>
        <w:spacing w:before="120" w:after="120" w:line="276" w:lineRule="auto"/>
        <w:ind w:left="360" w:leftChars="0" w:hanging="360" w:firstLineChars="0"/>
        <w:jc w:val="both"/>
        <w:rPr>
          <w:rFonts w:hint="default" w:ascii="Arial" w:hAnsi="Arial" w:cs="Arial"/>
          <w:bCs/>
          <w:iCs/>
          <w:u w:val="single"/>
          <w:lang w:val="pt-BR"/>
        </w:rPr>
      </w:pPr>
      <w:r>
        <w:rPr>
          <w:rFonts w:hint="default" w:ascii="Arial" w:hAnsi="Arial" w:cs="Arial"/>
          <w:bCs/>
          <w:iCs/>
          <w:u w:val="single"/>
          <w:lang w:val="pt-BR"/>
        </w:rPr>
        <w:t>MODELO DE EXECUÇÃO DO OBJETO (arts. 6º, inciso XXIII, alínea 'e', e 40, §1º, inciso II, da Lei nº 14.133/2021)</w:t>
      </w:r>
    </w:p>
    <w:p w14:paraId="61C32A8A">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u w:val="none"/>
          <w:lang w:val="pt-BR"/>
        </w:rPr>
        <w:t>3.1.1</w:t>
      </w:r>
      <w:r>
        <w:rPr>
          <w:rFonts w:hint="default" w:ascii="Arial" w:hAnsi="Arial" w:cs="Arial"/>
          <w:bCs/>
          <w:iCs/>
          <w:u w:val="single"/>
          <w:lang w:val="pt-BR"/>
        </w:rPr>
        <w:t xml:space="preserve"> Condições de Entrega:</w:t>
      </w:r>
    </w:p>
    <w:p w14:paraId="774504E2">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 xml:space="preserve">3.1.1.1 </w:t>
      </w:r>
      <w:r>
        <w:rPr>
          <w:rFonts w:hint="default" w:ascii="Arial" w:hAnsi="Arial" w:cs="Arial"/>
          <w:bCs/>
          <w:iCs/>
          <w:lang w:val="pt-BR"/>
        </w:rPr>
        <w:t xml:space="preserve">A entrega do Instrumental Odontológico, na quantidade determinada em cada requisição — </w:t>
      </w:r>
      <w:r>
        <w:rPr>
          <w:rFonts w:hint="default" w:ascii="Arial" w:hAnsi="Arial" w:cs="Arial"/>
          <w:b/>
          <w:bCs w:val="0"/>
          <w:iCs/>
          <w:lang w:val="pt-BR"/>
        </w:rPr>
        <w:t>Solicitação de Atendimento de Demanda (SAD)</w:t>
      </w:r>
      <w:r>
        <w:rPr>
          <w:rFonts w:hint="default" w:ascii="Arial" w:hAnsi="Arial" w:cs="Arial"/>
          <w:bCs/>
          <w:iCs/>
          <w:lang w:val="pt-BR"/>
        </w:rPr>
        <w:t xml:space="preserve"> — deverá ser realizada de forma integral, em até 20 (vinte) dias corridos contados do recebimento da nota de empenho ou da assinatura do instrumento contratual equivalente, ressalvados os casos em que a Administração Pública, previamente e em decisão fundamentada, autorizar a dilação desse prazo. Qualquer despesa inerente ao processo de logística para entrega do produto ficará sob a responsabilidade do fornecedor registrado.</w:t>
      </w:r>
    </w:p>
    <w:p w14:paraId="5400385B">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3.1.1.2</w:t>
      </w:r>
      <w:r>
        <w:rPr>
          <w:rFonts w:hint="default" w:ascii="Arial" w:hAnsi="Arial" w:cs="Arial"/>
          <w:bCs/>
          <w:iCs/>
          <w:lang w:val="pt-BR"/>
        </w:rPr>
        <w:t xml:space="preserve"> Caso o término do prazo de entrega recaia em dia não útil, a entrega deverá ser realizada no primeiro dia útil subsequente, sem prejuízo das demais condições estabelecidas neste instrumento.</w:t>
      </w:r>
    </w:p>
    <w:p w14:paraId="0489CB9F">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3.1.1.3</w:t>
      </w:r>
      <w:r>
        <w:rPr>
          <w:rFonts w:hint="default" w:ascii="Arial" w:hAnsi="Arial" w:cs="Arial"/>
          <w:bCs/>
          <w:iCs/>
          <w:lang w:val="pt-BR"/>
        </w:rPr>
        <w:t xml:space="preserve"> Caso não seja possível a entrega na data assinalada, a empresa deverá comunicar as razões respectivas com pelo menos </w:t>
      </w:r>
      <w:r>
        <w:rPr>
          <w:rFonts w:hint="default" w:ascii="Arial" w:hAnsi="Arial" w:cs="Arial"/>
          <w:b/>
          <w:bCs w:val="0"/>
          <w:iCs/>
          <w:lang w:val="pt-BR"/>
        </w:rPr>
        <w:t>5 (cinco) dias úteis de antecedência</w:t>
      </w:r>
      <w:r>
        <w:rPr>
          <w:rFonts w:hint="default" w:ascii="Arial" w:hAnsi="Arial" w:cs="Arial"/>
          <w:bCs/>
          <w:iCs/>
          <w:lang w:val="pt-BR"/>
        </w:rPr>
        <w:t>, para que qualquer pleito de prorrogação de prazo seja analisado, ressalvadas situações de caso fortuito e força maior.</w:t>
      </w:r>
    </w:p>
    <w:p w14:paraId="0E373F3A">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3.1.1.4</w:t>
      </w:r>
      <w:r>
        <w:rPr>
          <w:rFonts w:hint="default" w:ascii="Arial" w:hAnsi="Arial" w:cs="Arial"/>
          <w:bCs/>
          <w:iCs/>
          <w:lang w:val="pt-BR"/>
        </w:rPr>
        <w:t xml:space="preserve"> Os bens deverão ser entregues no </w:t>
      </w:r>
      <w:r>
        <w:rPr>
          <w:rFonts w:hint="default" w:ascii="Arial" w:hAnsi="Arial" w:cs="Arial"/>
          <w:b/>
          <w:bCs w:val="0"/>
          <w:iCs/>
          <w:lang w:val="pt-BR"/>
        </w:rPr>
        <w:t>Almoxarifado Central da Secretaria Municipal de Saúde de Nova Friburgo/RJ,</w:t>
      </w:r>
      <w:r>
        <w:rPr>
          <w:rFonts w:hint="default" w:ascii="Arial" w:hAnsi="Arial" w:cs="Arial"/>
          <w:bCs/>
          <w:iCs/>
          <w:lang w:val="pt-BR"/>
        </w:rPr>
        <w:t xml:space="preserve"> situado na Avenida Conselheiro Július Arp, nº 80 — Bloco 12 — Espaço Arp — Centro — Nova Friburgo/RJ, de segunda a sexta-feira, exceto feriados, no horário das 08h00 às 13h00, ou em local previamente estabelecido e sinalizado no momento do envio da nota de empenho.</w:t>
      </w:r>
    </w:p>
    <w:p w14:paraId="681DACB9">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3.1.1.5</w:t>
      </w:r>
      <w:r>
        <w:rPr>
          <w:rFonts w:hint="default" w:ascii="Arial" w:hAnsi="Arial" w:cs="Arial"/>
          <w:bCs/>
          <w:iCs/>
          <w:lang w:val="pt-BR"/>
        </w:rPr>
        <w:t xml:space="preserve"> Todas as despesas com transporte, frete, seguro e descarregamento dos materiais correrão exclusivamente por conta da Contratada, sem qualquer ônus adicional para a Administração. Para tanto, a Contratada deverá disponibilizar pessoal suficiente para a descarga (carregadores/chapas), bem como os equipamentos adequados necessários à movimentação dos volumes, tais como paleteiras, carrinhos de transporte de carga e demais instrumentos que se fizerem necessários à execução segura e eficiente da entrega, preservando a integridade dos produtos e das instalações do Almoxarifado Central.</w:t>
      </w:r>
    </w:p>
    <w:p w14:paraId="17086E20">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 xml:space="preserve">3.1.1.6 </w:t>
      </w:r>
      <w:r>
        <w:rPr>
          <w:rFonts w:hint="default" w:ascii="Arial" w:hAnsi="Arial" w:cs="Arial"/>
          <w:bCs/>
          <w:iCs/>
          <w:lang w:val="pt-BR"/>
        </w:rPr>
        <w:t>O descumprimento das condições de entrega previstas neste item, incluindo atraso injustificado, entrega em local diverso do indicado, entrega fora do horário estabelecido, recusa ou ausência de pessoal e equipamentos para descarga, sujeitará a Contratada às sanções administrativas previstas na Seção 7 do Termo de Referência, aplicáveis de forma gradual e motivada, conforme a natureza e a gravidade da infração, podendo consistir em:</w:t>
      </w:r>
    </w:p>
    <w:p w14:paraId="105EE6FD">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a) Advertência, nos termos do art. 156, inciso I, da Lei nº 14.133/2021, nas ocorrências isoladas de menor gravidade, como entrega fora do horário ou ausência de pessoal e/ou equipamento de descarga, desde que sem prejuízo ao recebimento e à qualidade dos materiais;</w:t>
      </w:r>
    </w:p>
    <w:p w14:paraId="4904455D">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b) Multa moratória, nos percentuais e prazos definidos na Seção 7, quando verificado atraso injustificado na entrega, calculada sobre o valor da parcela inadimplida;</w:t>
      </w:r>
    </w:p>
    <w:p w14:paraId="152310E6">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c) Multa compensatória, sobre o valor total da contratação, nas hipóteses de inexecução parcial ou total, nos percentuais definidos na Seção 7;</w:t>
      </w:r>
    </w:p>
    <w:p w14:paraId="1252BCD3">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d) Multa por reincidência, aplicada em dobro sobre a multa originalmente aplicada, quando a Contratada incorrer pela segunda vez ou mais na mesma infração no curso do mesmo contrato, independentemente de a infração anterior ter sido objeto de advertência ou multa, observados o contraditório e a ampla defesa; e</w:t>
      </w:r>
    </w:p>
    <w:p w14:paraId="18C84607">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e) Impedimento de licitar e contratar ou declaração de inidoneidade, nas hipóteses mais graves ou de reincidência contumaz, conforme os arts. 156 e seguintes da Lei nº 14.133/2021, observados sempre o contraditório e a ampla defesa.</w:t>
      </w:r>
    </w:p>
    <w:p w14:paraId="2B6D7E67">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3.1.1.7</w:t>
      </w:r>
      <w:r>
        <w:rPr>
          <w:rFonts w:hint="default" w:ascii="Arial" w:hAnsi="Arial" w:cs="Arial"/>
          <w:bCs/>
          <w:iCs/>
          <w:lang w:val="pt-BR"/>
        </w:rPr>
        <w:t xml:space="preserve"> Os instrumentais odontológicos deverão ser entregues com prazo de validade correspondente a no mínimo </w:t>
      </w:r>
      <w:r>
        <w:rPr>
          <w:rFonts w:hint="default" w:ascii="Arial" w:hAnsi="Arial" w:cs="Arial"/>
          <w:b/>
          <w:bCs w:val="0"/>
          <w:iCs/>
          <w:lang w:val="pt-BR"/>
        </w:rPr>
        <w:t>80% (oitenta por cento) do prazo de validade plena indicado pelo fabricante,</w:t>
      </w:r>
      <w:r>
        <w:rPr>
          <w:rFonts w:hint="default" w:ascii="Arial" w:hAnsi="Arial" w:cs="Arial"/>
          <w:bCs/>
          <w:iCs/>
          <w:lang w:val="pt-BR"/>
        </w:rPr>
        <w:t xml:space="preserve"> contados da data do recebimento definitivo. Na hipótese de absoluta impossibilidade de cumprimento desta condição, devidamente justificada pelo fornecedor e previamente avaliada pela Área de Almoxarifado, poderá ser admitida, em caráter de extrema excepcionalidade, a entrega do produto com validade inferior, obrigando-se o fornecedor a proceder à imediata substituição quando acionado, na hipótese de inviabilidade de utilização dos produtos dentro do prazo de validade.</w:t>
      </w:r>
    </w:p>
    <w:p w14:paraId="71CE0BD6">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3.1.1.8</w:t>
      </w:r>
      <w:r>
        <w:rPr>
          <w:rFonts w:hint="default" w:ascii="Arial" w:hAnsi="Arial" w:cs="Arial"/>
          <w:bCs/>
          <w:iCs/>
          <w:lang w:val="pt-BR"/>
        </w:rPr>
        <w:t xml:space="preserve"> A entrega de produtos com prazo de validade inferior ao previsto no item somente poderá ocorrer mediante autorização prévia da Área de Almoxarifado, acompanhada de Carta de Compromisso de Troca sem qualquer encargo, termo ou condição. </w:t>
      </w:r>
    </w:p>
    <w:p w14:paraId="47E481EC">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
          <w:bCs w:val="0"/>
          <w:iCs/>
          <w:lang w:val="pt-BR"/>
        </w:rPr>
        <w:t>A eventual presença de elementos acidentais incluídos unilateralmente pela Contratada no instrumento citado será considerada não escrita pela Administração Pública,</w:t>
      </w:r>
      <w:r>
        <w:rPr>
          <w:rFonts w:hint="default" w:ascii="Arial" w:hAnsi="Arial" w:cs="Arial"/>
          <w:bCs/>
          <w:iCs/>
          <w:lang w:val="pt-BR"/>
        </w:rPr>
        <w:t xml:space="preserve"> podendo a Área de Almoxarifado, a qualquer tempo, revogar eventual autorização de entrega com prazo de validade diverso e deflagrar o processo punitivo contra aqueles que descumprirem as regras contratuais originárias e demais ajustes firmados supervenientemente com a Administração.</w:t>
      </w:r>
    </w:p>
    <w:p w14:paraId="2F9CA882">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3.1.1.9</w:t>
      </w:r>
      <w:r>
        <w:rPr>
          <w:rFonts w:hint="default" w:ascii="Arial" w:hAnsi="Arial" w:cs="Arial"/>
          <w:bCs/>
          <w:iCs/>
          <w:lang w:val="pt-BR"/>
        </w:rPr>
        <w:t xml:space="preserve"> Os produtos entregues com prazo de validade inferior ao previsto no item 3.1.1.7, cuja entrega tenha sido autorizada nos termos do item 3.1.1.8, e que venham a vencer sem utilização durante o período de guarda no Almoxarifado Central, serão de responsabilidade exclusiva da Contratada quanto ao seu descarte, devendo esta proceder à retirada por meio de logística reversa, concomitantemente à entrega dos produtos substitutos com validade regular ou, no máximo, na mesma data desta entrega. O descarte deverá observar as exigências da Lei Federal nº 12.305/2010 (Política Nacional de Resíduos Sólidos), da RDC ANVISA nº 222/2018 (Gerenciamento de Resíduos de Serviços de Saúde) e das demais normas sanitárias e ambientais aplicáveis à categoria do produto, sendo vedado o abandono, a destinação inadequada ou o descarte em rede de resíduos comuns. </w:t>
      </w:r>
      <w:r>
        <w:rPr>
          <w:rFonts w:hint="default" w:ascii="Arial" w:hAnsi="Arial" w:cs="Arial"/>
          <w:b/>
          <w:bCs w:val="0"/>
          <w:iCs/>
          <w:lang w:val="pt-BR"/>
        </w:rPr>
        <w:t>Não se aplica esta obrigação</w:t>
      </w:r>
      <w:r>
        <w:rPr>
          <w:rFonts w:hint="default" w:ascii="Arial" w:hAnsi="Arial" w:cs="Arial"/>
          <w:bCs/>
          <w:iCs/>
          <w:lang w:val="pt-BR"/>
        </w:rPr>
        <w:t xml:space="preserve"> aos produtos entregues em conformidade com o item 5.4 que venham a vencer em razão de consumo inferior ao previsto durante o período de vigência do contrato, nem aos produtos recusados no ato da entrega por já se encontrarem vencidos, cujo retorno é responsabilidade imediata da Contratada independentemente de qualquer formalidade.</w:t>
      </w:r>
    </w:p>
    <w:p w14:paraId="3B23A773">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3.1.1.10</w:t>
      </w:r>
      <w:r>
        <w:rPr>
          <w:rFonts w:hint="default" w:ascii="Arial" w:hAnsi="Arial" w:cs="Arial"/>
          <w:bCs/>
          <w:iCs/>
          <w:lang w:val="pt-BR"/>
        </w:rPr>
        <w:t xml:space="preserve"> Os Instrumentais Odontológicos deverão ser transportados, entregues e acondicionados adequadamente, de acordo com as instruções do fabricante e nas condições de temperatura, umidade e proteção exigidas para sua conservação, preservando as características técnicas e sanitárias dos produtos até o momento da entrega no Almoxarifado Central. O descumprimento das condições de acondicionamento e transporte ensejará a devolução imediata dos produtos pela Área de Almoxarifado, com a obrigação de substituição por lote diverso do apresentado inicialmente, sem ônus para a Administração.</w:t>
      </w:r>
    </w:p>
    <w:p w14:paraId="62F2ACFF">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3.1.1.11</w:t>
      </w:r>
      <w:r>
        <w:rPr>
          <w:rFonts w:hint="default" w:ascii="Arial" w:hAnsi="Arial" w:cs="Arial"/>
          <w:bCs/>
          <w:iCs/>
          <w:lang w:val="pt-BR"/>
        </w:rPr>
        <w:t xml:space="preserve"> Os materiais deverão ser entregues acompanhados das respectivas notas fiscais e das notas de empenho correspondentes, devidamente preenchidas, além de ficha técnica ou instruções de uso quando aplicável à categoria do produto.</w:t>
      </w:r>
    </w:p>
    <w:p w14:paraId="0CAC3C82">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3.1.1.12</w:t>
      </w:r>
      <w:r>
        <w:rPr>
          <w:rFonts w:hint="default" w:ascii="Arial" w:hAnsi="Arial" w:cs="Arial"/>
          <w:bCs/>
          <w:iCs/>
          <w:lang w:val="pt-BR"/>
        </w:rPr>
        <w:t xml:space="preserve"> Para materiais importados, será obrigatória a entrega de manual de instruções em língua portuguesa.</w:t>
      </w:r>
    </w:p>
    <w:p w14:paraId="7BE592DC">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3.1.1.13</w:t>
      </w:r>
      <w:r>
        <w:rPr>
          <w:rFonts w:hint="default" w:ascii="Arial" w:hAnsi="Arial" w:cs="Arial"/>
          <w:bCs/>
          <w:iCs/>
          <w:lang w:val="pt-BR"/>
        </w:rPr>
        <w:t xml:space="preserve"> Todos os produtos deverão ser entregues em embalagens originais, lacradas e íntegras, sem sinais de violação, umidade, amassados ou qualquer avaria que comprometa a qualidade ou a segurança do material.</w:t>
      </w:r>
    </w:p>
    <w:p w14:paraId="5A44A080">
      <w:pPr>
        <w:pStyle w:val="19"/>
        <w:widowControl/>
        <w:tabs>
          <w:tab w:val="left" w:pos="426"/>
        </w:tabs>
        <w:autoSpaceDE/>
        <w:autoSpaceDN/>
        <w:spacing w:before="120" w:after="120" w:line="276" w:lineRule="auto"/>
        <w:ind w:left="0"/>
        <w:jc w:val="both"/>
        <w:rPr>
          <w:rFonts w:hint="default" w:ascii="Arial" w:hAnsi="Arial" w:cs="Arial"/>
          <w:bCs/>
          <w:iCs/>
          <w:lang w:val="pt-BR"/>
        </w:rPr>
      </w:pPr>
    </w:p>
    <w:p w14:paraId="31B69F54">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u w:val="none"/>
          <w:lang w:val="pt-BR"/>
        </w:rPr>
        <w:t xml:space="preserve">3.1.2 </w:t>
      </w:r>
      <w:r>
        <w:rPr>
          <w:rFonts w:hint="default" w:ascii="Arial" w:hAnsi="Arial" w:cs="Arial"/>
          <w:bCs/>
          <w:iCs/>
          <w:u w:val="single"/>
          <w:lang w:val="pt-BR"/>
        </w:rPr>
        <w:t>Garantia, manutenção e assistência técnica:</w:t>
      </w:r>
    </w:p>
    <w:p w14:paraId="6BA4F4F6">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3.1.2.1 O prazo de garantia é aquele estabelecido na Lei nº 8.078, de 11 de setembro de 1990 (Código de Defesa do Consumidor), ou pelo prazo fornecido pelo fabricante, se superior, contado a partir do primeiro dia útil subsequente à data do recebimento definitivo do objeto.</w:t>
      </w:r>
    </w:p>
    <w:p w14:paraId="04089D94">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3.2 </w:t>
      </w:r>
      <w:r>
        <w:rPr>
          <w:rFonts w:hint="default" w:ascii="Arial" w:hAnsi="Arial" w:cs="Arial"/>
          <w:bCs/>
          <w:iCs/>
          <w:u w:val="single"/>
          <w:lang w:val="pt-BR"/>
        </w:rPr>
        <w:t>MODELO DE GESTÃO DO CONTRATO (art. 6º, inciso XXIII, alínea 'f', da Lei nº 14.133/2021)</w:t>
      </w:r>
    </w:p>
    <w:p w14:paraId="48823E83">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 O contrato deverá ser executado fielmente pelas partes, de acordo com as cláusulas avençadas e as normas da Lei nº 14.133/2021, e cada parte responderá pelas consequências de sua inexecução total ou parcial.</w:t>
      </w:r>
    </w:p>
    <w:p w14:paraId="57B13A04">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3.2.2 Em caso de impedimento, ordem de paralisação ou suspensão do contrato, o cronograma de execução será prorrogado automaticamente pelo tempo correspondente, anotadas tais circunstâncias mediante simples apostila.</w:t>
      </w:r>
    </w:p>
    <w:p w14:paraId="6FBE7E2B">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 As comunicações entre o órgão ou entidade e a Contratada devem ser realizadas por escrito sempre que o ato exigir tal formalidade, admitindo-se o uso de mensagem eletrônica para esse fim.</w:t>
      </w:r>
    </w:p>
    <w:p w14:paraId="1ADD651B">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3.2.4 O órgão ou entidade poderá convocar representante da empresa para adoção de providências que devam ser cumpridas de imediato.</w:t>
      </w:r>
    </w:p>
    <w:p w14:paraId="71EBC8D2">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158F87B">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u w:val="none"/>
          <w:lang w:val="pt-BR"/>
        </w:rPr>
        <w:t>3.2.6</w:t>
      </w:r>
      <w:r>
        <w:rPr>
          <w:rFonts w:hint="default" w:ascii="Arial" w:hAnsi="Arial" w:cs="Arial"/>
          <w:bCs/>
          <w:iCs/>
          <w:u w:val="single"/>
          <w:lang w:val="pt-BR"/>
        </w:rPr>
        <w:t xml:space="preserve"> Fiscalização:</w:t>
      </w:r>
    </w:p>
    <w:p w14:paraId="738381F9">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3.2.6.1</w:t>
      </w:r>
      <w:r>
        <w:rPr>
          <w:rFonts w:hint="default" w:ascii="Arial" w:hAnsi="Arial" w:cs="Arial"/>
          <w:bCs/>
          <w:iCs/>
          <w:lang w:val="pt-BR"/>
        </w:rPr>
        <w:t xml:space="preserve"> A execução do contrato deverá ser acompanhada e fiscalizada pelo(s) fiscal(is) do contrato, ou pelos respectivos substitutos.</w:t>
      </w:r>
    </w:p>
    <w:p w14:paraId="016A86D3">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u w:val="none"/>
          <w:lang w:val="pt-BR"/>
        </w:rPr>
        <w:t>3.2.7</w:t>
      </w:r>
      <w:r>
        <w:rPr>
          <w:rFonts w:hint="default" w:ascii="Arial" w:hAnsi="Arial" w:cs="Arial"/>
          <w:bCs/>
          <w:iCs/>
          <w:u w:val="single"/>
          <w:lang w:val="pt-BR"/>
        </w:rPr>
        <w:t xml:space="preserve"> Fiscalização Técnica:</w:t>
      </w:r>
    </w:p>
    <w:p w14:paraId="774FD3A3">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3.2.7.1</w:t>
      </w:r>
      <w:r>
        <w:rPr>
          <w:rFonts w:hint="default" w:ascii="Arial" w:hAnsi="Arial" w:cs="Arial"/>
          <w:bCs/>
          <w:iCs/>
          <w:lang w:val="pt-BR"/>
        </w:rPr>
        <w:t xml:space="preserve"> O fiscal técnico do contrato acompanhará a execução do contrato, para que sejam cumpridas todas as condições estabelecidas no contrato, de modo a assegurar os melhores resultados para a Administração.</w:t>
      </w:r>
    </w:p>
    <w:p w14:paraId="7E853A36">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3.2.7.2</w:t>
      </w:r>
      <w:r>
        <w:rPr>
          <w:rFonts w:hint="default" w:ascii="Arial" w:hAnsi="Arial" w:cs="Arial"/>
          <w:bCs/>
          <w:iCs/>
          <w:lang w:val="pt-BR"/>
        </w:rPr>
        <w:t xml:space="preserve"> O fiscal técnico do contrato anotará no histórico de gerenciamento do contrato todas as ocorrências relacionadas à execução do contrato, com a descrição do que for necessário para a regularização das faltas ou dos defeitos observados.</w:t>
      </w:r>
    </w:p>
    <w:p w14:paraId="00093DD9">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3.2.7.3</w:t>
      </w:r>
      <w:r>
        <w:rPr>
          <w:rFonts w:hint="default" w:ascii="Arial" w:hAnsi="Arial" w:cs="Arial"/>
          <w:bCs/>
          <w:iCs/>
          <w:lang w:val="pt-BR"/>
        </w:rPr>
        <w:t xml:space="preserve"> Identificada qualquer inexatidão ou irregularidade, o fiscal técnico do contrato emitirá notificações para a correção da execução do contrato, determinando prazo para a correção.</w:t>
      </w:r>
    </w:p>
    <w:p w14:paraId="5DE48D86">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3.2.7.4</w:t>
      </w:r>
      <w:r>
        <w:rPr>
          <w:rFonts w:hint="default" w:ascii="Arial" w:hAnsi="Arial" w:cs="Arial"/>
          <w:bCs/>
          <w:iCs/>
          <w:lang w:val="pt-BR"/>
        </w:rPr>
        <w:t xml:space="preserve"> O fiscal técnico do contrato informará ao gestor do contrato, em tempo hábil, a situação que demandar decisão ou adoção de medidas que ultrapassem sua competência, para que adote as medidas necessárias e saneadoras, se for o caso.</w:t>
      </w:r>
    </w:p>
    <w:p w14:paraId="3AC6FBBC">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3.2.7.5</w:t>
      </w:r>
      <w:r>
        <w:rPr>
          <w:rFonts w:hint="default" w:ascii="Arial" w:hAnsi="Arial" w:cs="Arial"/>
          <w:bCs/>
          <w:iCs/>
          <w:lang w:val="pt-BR"/>
        </w:rPr>
        <w:t xml:space="preserve"> No caso de ocorrências que possam inviabilizar a execução do contrato nas datas aprazadas, o fiscal técnico do contrato comunicará o fato imediatamente ao gestor do contrato.</w:t>
      </w:r>
    </w:p>
    <w:p w14:paraId="1FF913A5">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3.2.7.6</w:t>
      </w:r>
      <w:r>
        <w:rPr>
          <w:rFonts w:hint="default" w:ascii="Arial" w:hAnsi="Arial" w:cs="Arial"/>
          <w:bCs/>
          <w:iCs/>
          <w:lang w:val="pt-BR"/>
        </w:rPr>
        <w:t xml:space="preserve"> O fiscal técnico do contrato comunicará ao gestor do contrato, em tempo hábil, o término do contrato sob sua responsabilidade, com vistas à renovação tempestiva ou à prorrogação contratual.</w:t>
      </w:r>
    </w:p>
    <w:p w14:paraId="321F4EB1">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u w:val="none"/>
          <w:lang w:val="pt-BR"/>
        </w:rPr>
        <w:t>3.2.8</w:t>
      </w:r>
      <w:r>
        <w:rPr>
          <w:rFonts w:hint="default" w:ascii="Arial" w:hAnsi="Arial" w:cs="Arial"/>
          <w:bCs/>
          <w:iCs/>
          <w:u w:val="single"/>
          <w:lang w:val="pt-BR"/>
        </w:rPr>
        <w:t xml:space="preserve"> Fiscalização Administrativa:</w:t>
      </w:r>
    </w:p>
    <w:p w14:paraId="1E8FB5E5">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3.2.8.1</w:t>
      </w:r>
      <w:r>
        <w:rPr>
          <w:rFonts w:hint="default" w:ascii="Arial" w:hAnsi="Arial" w:cs="Arial"/>
          <w:bCs/>
          <w:iCs/>
          <w:lang w:val="pt-BR"/>
        </w:rPr>
        <w:t xml:space="preserve">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5B23DFA">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3.2.8.2</w:t>
      </w:r>
      <w:r>
        <w:rPr>
          <w:rFonts w:hint="default" w:ascii="Arial" w:hAnsi="Arial" w:cs="Arial"/>
          <w:bCs/>
          <w:iCs/>
          <w:lang w:val="pt-BR"/>
        </w:rPr>
        <w:t xml:space="preserve"> Caso ocorra descumprimento das obrigações contratuais, o fiscal administrativo do contrato atuará tempestivamente na solução do problema, reportando ao gestor do contrato para que tome as providências cabíveis, quando ultrapassar a sua competência.</w:t>
      </w:r>
    </w:p>
    <w:p w14:paraId="3D7ADC27">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3.2.8.3</w:t>
      </w:r>
      <w:r>
        <w:rPr>
          <w:rFonts w:hint="default" w:ascii="Arial" w:hAnsi="Arial" w:cs="Arial"/>
          <w:bCs/>
          <w:iCs/>
          <w:lang w:val="pt-BR"/>
        </w:rPr>
        <w:t xml:space="preserve"> Além do disposto acima, a fiscalização contratual obedecerá às seguintes rotinas:</w:t>
      </w:r>
    </w:p>
    <w:p w14:paraId="448CE199">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3.2.8.3.1</w:t>
      </w:r>
      <w:r>
        <w:rPr>
          <w:rFonts w:hint="default" w:ascii="Arial" w:hAnsi="Arial" w:cs="Arial"/>
          <w:bCs/>
          <w:iCs/>
          <w:lang w:val="pt-BR"/>
        </w:rPr>
        <w:t xml:space="preserve"> As Notas Fiscais cujos valores ultrapassem o limite estabelecido no inciso II do art. 75 da Lei nº 14.133/2021 deverão ser devidamente atestadas pelos fiscais do contrato e protocoladas ao setor de Gerência de Planejamento Orçamentário e Financeiro da Secretaria Municipal de Saúde, no prazo máximo de 5 (cinco) dias úteis.</w:t>
      </w:r>
    </w:p>
    <w:p w14:paraId="655A2FC0">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3.2.8.3</w:t>
      </w:r>
      <w:r>
        <w:rPr>
          <w:rFonts w:hint="default" w:ascii="Arial" w:hAnsi="Arial" w:cs="Arial"/>
          <w:bCs/>
          <w:iCs/>
          <w:lang w:val="pt-BR"/>
        </w:rPr>
        <w:t>.2 As Notas Fiscais cujos valores não ultrapassem o limite estabelecido no inciso II do art. 75 da Lei nº 14.133/2021 deverão ser atestadas pelos fiscais do contrato e protocoladas ao setor de Gerência de Planejamento Orçamentário e Financeiro da Secretaria Municipal de Saúde no prazo máximo de 2 (dois) dias úteis.</w:t>
      </w:r>
    </w:p>
    <w:p w14:paraId="0F0C2CED">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3.2.8.4</w:t>
      </w:r>
      <w:r>
        <w:rPr>
          <w:rFonts w:hint="default" w:ascii="Arial" w:hAnsi="Arial" w:cs="Arial"/>
          <w:bCs/>
          <w:iCs/>
          <w:lang w:val="pt-BR"/>
        </w:rPr>
        <w:t xml:space="preserve"> Os prazos estabelecidos nos itens anteriores deverão incluir o período necessário para o recebimento definitivo do objeto contratual, conforme especificado na Seção 8 do Termo de Referência.</w:t>
      </w:r>
    </w:p>
    <w:p w14:paraId="4FF8DA80">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3.2.8.5</w:t>
      </w:r>
      <w:r>
        <w:rPr>
          <w:rFonts w:hint="default" w:ascii="Arial" w:hAnsi="Arial" w:cs="Arial"/>
          <w:bCs/>
          <w:iCs/>
          <w:lang w:val="pt-BR"/>
        </w:rPr>
        <w:t xml:space="preserve"> O fiscal administrativo deverá encaminhar a documentação pertinente ao setor de Gerência de Planejamento Orçamentário e Financeiro da Secretaria Municipal de Saúde para a formalização dos procedimentos de pré-liquidação e pagamento, no valor dimensionado pela fiscalização nos termos do contrato.</w:t>
      </w:r>
    </w:p>
    <w:p w14:paraId="60E786BF">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3.2.8.6</w:t>
      </w:r>
      <w:r>
        <w:rPr>
          <w:rFonts w:hint="default" w:ascii="Arial" w:hAnsi="Arial" w:cs="Arial"/>
          <w:bCs/>
          <w:iCs/>
          <w:lang w:val="pt-BR"/>
        </w:rPr>
        <w:t xml:space="preserve"> A fiscalização de que trata esta seção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w:t>
      </w:r>
    </w:p>
    <w:p w14:paraId="59C597B2">
      <w:pPr>
        <w:pStyle w:val="19"/>
        <w:widowControl/>
        <w:tabs>
          <w:tab w:val="left" w:pos="426"/>
        </w:tabs>
        <w:autoSpaceDE/>
        <w:autoSpaceDN/>
        <w:spacing w:before="120" w:after="120" w:line="276" w:lineRule="auto"/>
        <w:ind w:left="0"/>
        <w:jc w:val="both"/>
        <w:rPr>
          <w:rFonts w:hint="default" w:ascii="Arial" w:hAnsi="Arial" w:cs="Arial"/>
          <w:bCs/>
          <w:iCs/>
          <w:lang w:val="pt-BR"/>
        </w:rPr>
      </w:pPr>
    </w:p>
    <w:p w14:paraId="75E559B7">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u w:val="none"/>
          <w:lang w:val="pt-BR"/>
        </w:rPr>
        <w:t>3.2.9</w:t>
      </w:r>
      <w:r>
        <w:rPr>
          <w:rFonts w:hint="default" w:ascii="Arial" w:hAnsi="Arial" w:cs="Arial"/>
          <w:bCs/>
          <w:iCs/>
          <w:u w:val="single"/>
          <w:lang w:val="pt-BR"/>
        </w:rPr>
        <w:t xml:space="preserve"> Gestor do Contrato:</w:t>
      </w:r>
    </w:p>
    <w:p w14:paraId="0B0E8781">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 xml:space="preserve">3.2.9.1 </w:t>
      </w:r>
      <w:r>
        <w:rPr>
          <w:rFonts w:hint="default" w:ascii="Arial" w:hAnsi="Arial" w:cs="Arial"/>
          <w:bCs/>
          <w:iCs/>
          <w:lang w:val="pt-BR"/>
        </w:rPr>
        <w:t>Cabe ao gestor do contrato:</w:t>
      </w:r>
    </w:p>
    <w:p w14:paraId="7DED9EE6">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3.2.9</w:t>
      </w:r>
      <w:r>
        <w:rPr>
          <w:rFonts w:hint="default" w:ascii="Arial" w:hAnsi="Arial" w:cs="Arial"/>
          <w:bCs/>
          <w:iCs/>
          <w:lang w:val="pt-BR"/>
        </w:rPr>
        <w:t>.1.1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FD7E3B0">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3.2.9</w:t>
      </w:r>
      <w:r>
        <w:rPr>
          <w:rFonts w:hint="default" w:ascii="Arial" w:hAnsi="Arial" w:cs="Arial"/>
          <w:bCs/>
          <w:iCs/>
          <w:lang w:val="pt-BR"/>
        </w:rPr>
        <w:t>.1.2 acompanhar os registros realizados pelos fiscais do contrato, de todas as ocorrências relacionadas à execução do contrato e as medidas adotadas, informando, se for o caso, à autoridade superior àquelas que ultrapassarem a sua competência;</w:t>
      </w:r>
    </w:p>
    <w:p w14:paraId="390C01E4">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3.2.9</w:t>
      </w:r>
      <w:r>
        <w:rPr>
          <w:rFonts w:hint="default" w:ascii="Arial" w:hAnsi="Arial" w:cs="Arial"/>
          <w:bCs/>
          <w:iCs/>
          <w:lang w:val="pt-BR"/>
        </w:rPr>
        <w:t>.1.3 acompanhar a manutenção das condições de habilitação da Contratada, para fins de empenho de despesa e pagamento, e anotar os problemas que obstem o fluxo normal da pré-liquidação e do pagamento da despesa no relatório de riscos eventuais;</w:t>
      </w:r>
    </w:p>
    <w:p w14:paraId="4DF34AA6">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3.2.9</w:t>
      </w:r>
      <w:r>
        <w:rPr>
          <w:rFonts w:hint="default" w:ascii="Arial" w:hAnsi="Arial" w:cs="Arial"/>
          <w:bCs/>
          <w:iCs/>
          <w:lang w:val="pt-BR"/>
        </w:rPr>
        <w:t>.1.4 emitir documento comprobatório da avaliação realizada pelos fiscais técnico e administrativo quanto ao cumprimento das obrigações assumidas pelo Contratado, com menção ao seu desempenho na execução contratual, baseado em indicadores objetivamente definidos e aferidos, e a eventuais penalidades aplicadas, devendo constar do cadastro de atesto de cumprimento de obrigações;</w:t>
      </w:r>
    </w:p>
    <w:p w14:paraId="740BD565">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3.2.9</w:t>
      </w:r>
      <w:r>
        <w:rPr>
          <w:rFonts w:hint="default" w:ascii="Arial" w:hAnsi="Arial" w:cs="Arial"/>
          <w:bCs/>
          <w:iCs/>
          <w:lang w:val="pt-BR"/>
        </w:rPr>
        <w:t>.1.5 tomar providências para a formalização de processo administrativo de responsabilização para fins de aplicação de sanções, a ser conduzido pela comissão de que trata o art. 158 da Lei nº 14.133/2021, ou pelo agente ou pelo setor com competência para tal, conforme o caso; e</w:t>
      </w:r>
    </w:p>
    <w:p w14:paraId="31C5928B">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none"/>
          <w:lang w:val="pt-BR"/>
        </w:rPr>
        <w:t>3.2.9</w:t>
      </w:r>
      <w:r>
        <w:rPr>
          <w:rFonts w:hint="default" w:ascii="Arial" w:hAnsi="Arial" w:cs="Arial"/>
          <w:bCs/>
          <w:iCs/>
          <w:lang w:val="pt-BR"/>
        </w:rPr>
        <w:t>.1.6 elaborar relatório final com informações sobre a consecução dos objetivos que tenham justificado a contratação e eventuais condutas a serem adotadas para o aprimoramento das atividades da Administração.</w:t>
      </w:r>
    </w:p>
    <w:p w14:paraId="3D7467C4">
      <w:pPr>
        <w:pStyle w:val="19"/>
        <w:widowControl/>
        <w:tabs>
          <w:tab w:val="left" w:pos="426"/>
        </w:tabs>
        <w:autoSpaceDE/>
        <w:autoSpaceDN/>
        <w:spacing w:before="120" w:after="120" w:line="276" w:lineRule="auto"/>
        <w:ind w:left="0"/>
        <w:jc w:val="both"/>
        <w:rPr>
          <w:rFonts w:hint="default" w:ascii="Arial" w:hAnsi="Arial" w:cs="Arial"/>
          <w:bCs/>
          <w:iCs/>
          <w:lang w:val="pt-BR"/>
        </w:rPr>
      </w:pPr>
    </w:p>
    <w:p w14:paraId="6482A3ED">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62CC479B">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3FA5FEC5">
      <w:pPr>
        <w:pStyle w:val="19"/>
        <w:widowControl/>
        <w:tabs>
          <w:tab w:val="left" w:pos="426"/>
        </w:tabs>
        <w:autoSpaceDE/>
        <w:autoSpaceDN/>
        <w:spacing w:before="120" w:after="120" w:line="276" w:lineRule="auto"/>
        <w:ind w:left="0"/>
        <w:jc w:val="both"/>
        <w:rPr>
          <w:rFonts w:ascii="Arial" w:hAnsi="Arial" w:cs="Arial"/>
          <w:bCs/>
          <w:i/>
          <w:iCs/>
          <w:color w:val="FF0000"/>
        </w:rPr>
      </w:pPr>
    </w:p>
    <w:p w14:paraId="428F0780">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6AEA05F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627BE1E3">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CAEC6C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6237143B">
      <w:pPr>
        <w:pStyle w:val="19"/>
        <w:widowControl/>
        <w:tabs>
          <w:tab w:val="left" w:pos="426"/>
        </w:tabs>
        <w:autoSpaceDE/>
        <w:autoSpaceDN/>
        <w:spacing w:before="120" w:after="120" w:line="276" w:lineRule="auto"/>
        <w:ind w:left="0"/>
        <w:jc w:val="both"/>
        <w:rPr>
          <w:rFonts w:ascii="Arial" w:hAnsi="Arial" w:cs="Arial"/>
          <w:bCs/>
          <w:i/>
          <w:color w:val="FF0000"/>
        </w:rPr>
      </w:pPr>
    </w:p>
    <w:p w14:paraId="24589A11">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1DDFDE33">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w:t>
      </w:r>
      <w:r>
        <w:rPr>
          <w:rFonts w:hint="default" w:ascii="Arial" w:hAnsi="Arial" w:cs="Arial" w:eastAsiaTheme="majorEastAsia"/>
          <w:b/>
          <w:bCs/>
          <w:lang w:val="en-US" w:eastAsia="pt-BR"/>
        </w:rPr>
        <w:t xml:space="preserve"> </w:t>
      </w:r>
      <w:r>
        <w:rPr>
          <w:rFonts w:hint="default" w:ascii="Arial" w:hAnsi="Arial" w:cs="Arial" w:eastAsiaTheme="majorEastAsia"/>
          <w:b w:val="0"/>
          <w:bCs w:val="0"/>
          <w:u w:val="single"/>
          <w:lang w:val="en-US" w:eastAsia="pt-BR"/>
        </w:rPr>
        <w:t>Recebimento:</w:t>
      </w:r>
    </w:p>
    <w:p w14:paraId="02A08ECA">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6.1.1 Os bens serão recebidos </w:t>
      </w:r>
      <w:r>
        <w:rPr>
          <w:rFonts w:hint="default" w:ascii="Arial" w:hAnsi="Arial" w:cs="Arial" w:eastAsiaTheme="majorEastAsia"/>
          <w:b/>
          <w:bCs/>
          <w:lang w:val="en-US" w:eastAsia="pt-BR"/>
        </w:rPr>
        <w:t>provisoriamente,</w:t>
      </w:r>
      <w:r>
        <w:rPr>
          <w:rFonts w:hint="default" w:ascii="Arial" w:hAnsi="Arial" w:cs="Arial" w:eastAsiaTheme="majorEastAsia"/>
          <w:b w:val="0"/>
          <w:bCs w:val="0"/>
          <w:lang w:val="en-US" w:eastAsia="pt-BR"/>
        </w:rPr>
        <w:t xml:space="preserv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1B9BCEC">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6.1.2 Os bens poderão ser rejeitados, no todo ou em parte, inclusive antes do recebimento provisório, quando em desacordo com as especificações constantes no Termo de Referência e na proposta, devendo ser substituídos no prazo de 10 (dez) dias, a contar da notificação da Contratada, às suas custas, sem prejuízo da aplicação das penalidades.</w:t>
      </w:r>
    </w:p>
    <w:p w14:paraId="54DB7E8C">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6.1.3 O recebimento </w:t>
      </w:r>
      <w:r>
        <w:rPr>
          <w:rFonts w:hint="default" w:ascii="Arial" w:hAnsi="Arial" w:cs="Arial" w:eastAsiaTheme="majorEastAsia"/>
          <w:b/>
          <w:bCs/>
          <w:lang w:val="en-US" w:eastAsia="pt-BR"/>
        </w:rPr>
        <w:t>definitivo</w:t>
      </w:r>
      <w:r>
        <w:rPr>
          <w:rFonts w:hint="default" w:ascii="Arial" w:hAnsi="Arial" w:cs="Arial" w:eastAsiaTheme="majorEastAsia"/>
          <w:b w:val="0"/>
          <w:bCs w:val="0"/>
          <w:lang w:val="en-US" w:eastAsia="pt-BR"/>
        </w:rPr>
        <w:t xml:space="preserve"> ocorrerá no prazo de 05 (cinco) dias úteis, a contar do recebimento da nota fiscal ou instrumento de cobrança equivalente pela Administração, após a verificação da qualidade e quantidade do material e consequente aceitação mediante termo detalhado.</w:t>
      </w:r>
    </w:p>
    <w:p w14:paraId="21244FF7">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6.1.4 Para as contratações decorrentes de despesas cujos valores não ultrapassem o limite de que trata o inciso II do art. 75 da Lei nº 14.133/2021, o prazo máximo para o recebimento definitivo será de até 02 (dois) dias úteis.</w:t>
      </w:r>
    </w:p>
    <w:p w14:paraId="7E6DFA62">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6.1.5 O prazo para recebimento definitivo poderá ser excepcionalmente prorrogado, de forma justificada, por igual período, quando houver necessidade de diligências para a aferição do atendimento das exigências contratuais.</w:t>
      </w:r>
    </w:p>
    <w:p w14:paraId="1FD2BB8C">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6.1.6 No caso de controvérsia sobre a execução do objeto, quanto à dimensão, qualidade e quantidade, deverá ser observado o teor do art. 143 da Lei nº 14.133/2021, comunicando-se à empresa para emissão de Nota Fiscal quanto à parcela incontroversa da execução do objeto, para efeito de pré-liquidação, liquidação e pagamento.</w:t>
      </w:r>
    </w:p>
    <w:p w14:paraId="538CEB75">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6.1.7 O prazo para a solução, pelo Contratado, de inconsistências na execução do objeto ou de saneamento da nota fiscal ou de instrumento de cobrança equivalente, verificadas pela Administração durante a análise prévia à pré-liquidação de despesa, não será computado para os fins do recebimento definitivo.</w:t>
      </w:r>
    </w:p>
    <w:p w14:paraId="72EFC7CF">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6.1.8 O recebimento provisório ou definitivo não excluirá a responsabilidade civil pela solidez e pela segurança dos bens nem a responsabilidade ético-profissional pela perfeita execução do contrato.</w:t>
      </w:r>
    </w:p>
    <w:p w14:paraId="587DE3A1">
      <w:pPr>
        <w:pStyle w:val="19"/>
        <w:tabs>
          <w:tab w:val="left" w:pos="284"/>
        </w:tabs>
        <w:spacing w:line="276" w:lineRule="auto"/>
        <w:ind w:left="0"/>
        <w:jc w:val="both"/>
        <w:rPr>
          <w:rFonts w:hint="default" w:ascii="Arial" w:hAnsi="Arial" w:cs="Arial" w:eastAsiaTheme="majorEastAsia"/>
          <w:b w:val="0"/>
          <w:bCs w:val="0"/>
          <w:u w:val="single"/>
          <w:lang w:val="en-US" w:eastAsia="pt-BR"/>
        </w:rPr>
      </w:pPr>
      <w:r>
        <w:rPr>
          <w:rFonts w:hint="default" w:ascii="Arial" w:hAnsi="Arial" w:cs="Arial" w:eastAsiaTheme="majorEastAsia"/>
          <w:b w:val="0"/>
          <w:bCs w:val="0"/>
          <w:u w:val="single"/>
          <w:lang w:val="en-US" w:eastAsia="pt-BR"/>
        </w:rPr>
        <w:t>Pré-Liquidação:</w:t>
      </w:r>
    </w:p>
    <w:p w14:paraId="18DB4338">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6.1.9 Recebida a Nota Fiscal ou documento de cobrança equivalente, correrá o prazo de 15 (quinze) dias úteis para fins de pré-liquidação, nos termos do art. 2º, §4º, do Decreto Municipal nº 2.493/2023.</w:t>
      </w:r>
    </w:p>
    <w:p w14:paraId="73C58C68">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6.1.10 O prazo de que trata o item anterior será de 02 (dois) dias úteis no caso de contratações decorrentes de despesas cujos valores não ultrapassem o limite de que trata o inciso II do art. 75 da Lei nº 14.133/2021, nos termos do art. 2º, §3º, inciso I, do Decreto Municipal nº 2.493/2023.</w:t>
      </w:r>
    </w:p>
    <w:p w14:paraId="07BD657E">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6.1.11 Para fins de pré-liquidação, o setor competente deverá verificar se a nota fiscal ou instrumento de cobrança equivalente apresentado expressa os elementos necessários e essenciais do documento, tais como:</w:t>
      </w:r>
    </w:p>
    <w:p w14:paraId="1ED2830A">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a) o prazo de validade;</w:t>
      </w:r>
    </w:p>
    <w:p w14:paraId="54D4266A">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b) emissão em nome do Fundo Municipal de Saúde, CNPJ: 11.399.442/0001-79 – Avenida Alberto Braune, nº 224, sala 221, Centro, Nova Friburgo/RJ, CEP 28613-001.</w:t>
      </w:r>
    </w:p>
    <w:p w14:paraId="067177B3">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c) a data da emissão;</w:t>
      </w:r>
    </w:p>
    <w:p w14:paraId="75888481">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d) os dados do contrato e do órgão contratante;</w:t>
      </w:r>
    </w:p>
    <w:p w14:paraId="55504CB8">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e) dados bancários para pagamento;</w:t>
      </w:r>
    </w:p>
    <w:p w14:paraId="22E6E529">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f) o período respectivo de execução do contrato;</w:t>
      </w:r>
    </w:p>
    <w:p w14:paraId="2D0B582C">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g) o valor a pagar; e</w:t>
      </w:r>
    </w:p>
    <w:p w14:paraId="1E62E532">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h) eventual destaque do valor de retenções tributárias cabíveis.</w:t>
      </w:r>
    </w:p>
    <w:p w14:paraId="66267B9D">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6.1.12 Havendo erro na apresentação da nota fiscal ou instrumento de cobrança equivalente, ou circunstância que impeça o processamento da despesa, esta ficará sobrestada até que o Contratado providencie as medidas saneadoras, reiniciando-se o prazo após a comprovação da regularização da situação, sem ônus ao Contratante.</w:t>
      </w:r>
    </w:p>
    <w:p w14:paraId="7439F503">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6.1.13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14.133/2021.</w:t>
      </w:r>
    </w:p>
    <w:p w14:paraId="1F271687">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6.1.14 A Administração deverá realizar consulta ao SICAF para:</w:t>
      </w:r>
    </w:p>
    <w:p w14:paraId="702D30F5">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a) verificar a manutenção das condições de habilitação exigidas; e</w:t>
      </w:r>
    </w:p>
    <w:p w14:paraId="7622D633">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b) identificar possível razão que impeça a participação em licitação/contratação no âmbito do órgão ou entidade, tais como a proibição de contratar com a Administração ou com o Poder Público, bem como ocorrências impeditivas indiretas.</w:t>
      </w:r>
    </w:p>
    <w:p w14:paraId="0752CB75">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6.1.15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13DE744">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6.1.16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7E3F983">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6.1.17 Persistindo a irregularidade, o Contratante deverá adotar as medidas necessárias à rescisão contratual nos autos do processo administrativo correspondente, assegurada ao Contratado a ampla defesa.</w:t>
      </w:r>
    </w:p>
    <w:p w14:paraId="0206A8F5">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6.1.18 Havendo a efetiva execução do objeto, os pagamentos serão realizados normalmente, até que se decida pela rescisão do contrato, caso o Contratado não regularize sua situação junto ao SICAF.</w:t>
      </w:r>
    </w:p>
    <w:p w14:paraId="20DA9071">
      <w:pPr>
        <w:pStyle w:val="19"/>
        <w:tabs>
          <w:tab w:val="left" w:pos="284"/>
        </w:tabs>
        <w:spacing w:line="276" w:lineRule="auto"/>
        <w:ind w:left="0"/>
        <w:jc w:val="both"/>
        <w:rPr>
          <w:rFonts w:hint="default" w:ascii="Arial" w:hAnsi="Arial" w:cs="Arial" w:eastAsiaTheme="majorEastAsia"/>
          <w:b w:val="0"/>
          <w:bCs w:val="0"/>
          <w:u w:val="single"/>
          <w:lang w:val="en-US" w:eastAsia="pt-BR"/>
        </w:rPr>
      </w:pPr>
      <w:r>
        <w:rPr>
          <w:rFonts w:hint="default" w:ascii="Arial" w:hAnsi="Arial" w:cs="Arial" w:eastAsiaTheme="majorEastAsia"/>
          <w:b w:val="0"/>
          <w:bCs w:val="0"/>
          <w:u w:val="single"/>
          <w:lang w:val="en-US" w:eastAsia="pt-BR"/>
        </w:rPr>
        <w:t>Prazo de pagamento:</w:t>
      </w:r>
    </w:p>
    <w:p w14:paraId="56A4CE06">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6.1.19 O pagamento será efetuado nos seguintes prazos, conforme Decreto Municipal nº 2.493/2023:</w:t>
      </w:r>
    </w:p>
    <w:p w14:paraId="49100872">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a) Para contratações cujos valores não ultrapassem o limite de que trata o inciso II do art. 75 da Lei nº 14.133/2021: até o 5º (quinto) dia útil subsequente à data da pré-liquidação da despesa, nos termos do art. 3º, inciso I, do referido Decreto;</w:t>
      </w:r>
    </w:p>
    <w:p w14:paraId="091C21FA">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b) Para os demais casos: até 30 (trinta) dias contados do recebimento definitivo/atesto da nota fiscal ou fatura, nos termos do art. 3º, inciso III, do referido Decreto.</w:t>
      </w:r>
    </w:p>
    <w:p w14:paraId="2CCA5745">
      <w:pPr>
        <w:pStyle w:val="19"/>
        <w:tabs>
          <w:tab w:val="left" w:pos="284"/>
        </w:tabs>
        <w:spacing w:line="276" w:lineRule="auto"/>
        <w:ind w:left="0"/>
        <w:jc w:val="both"/>
        <w:rPr>
          <w:rFonts w:hint="default" w:ascii="Arial" w:hAnsi="Arial" w:cs="Arial" w:eastAsiaTheme="majorEastAsia"/>
          <w:b w:val="0"/>
          <w:bCs w:val="0"/>
          <w:u w:val="single"/>
          <w:lang w:val="en-US" w:eastAsia="pt-BR"/>
        </w:rPr>
      </w:pPr>
      <w:r>
        <w:rPr>
          <w:rFonts w:hint="default" w:ascii="Arial" w:hAnsi="Arial" w:cs="Arial" w:eastAsiaTheme="majorEastAsia"/>
          <w:b w:val="0"/>
          <w:bCs w:val="0"/>
          <w:u w:val="single"/>
          <w:lang w:val="en-US" w:eastAsia="pt-BR"/>
        </w:rPr>
        <w:t>Forma de pagamento:</w:t>
      </w:r>
    </w:p>
    <w:p w14:paraId="6EF8F684">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6.1.20 O pagamento será realizado por meio de ordem bancária, para crédito em banco, agência e conta-corrente indicados pelo Contratado.</w:t>
      </w:r>
    </w:p>
    <w:p w14:paraId="30BA7876">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6.1.21 Será considerada data do pagamento o dia em que constar como emitida a ordem bancária para pagamento.</w:t>
      </w:r>
    </w:p>
    <w:p w14:paraId="67FFF48A">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6.1.22 Quando do pagamento, será efetuada a retenção tributária prevista na legislação aplicável.</w:t>
      </w:r>
    </w:p>
    <w:p w14:paraId="5712FA87">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6.1.23 Independentemente do percentual de tributo inserido na planilha, quando houver, serão retidos na fonte, quando da realização do pagamento, os percentuais estabelecidos na legislação vigente.</w:t>
      </w:r>
    </w:p>
    <w:p w14:paraId="0601C4A4">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6.1.24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AC78341">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6.1.25 Na hipótese de o documento de cobrança apresentar erros, fica suspenso o prazo para o pagamento respectivo, prosseguindo-se a contagem somente após a apresentação da nova documentação isenta de erros.</w:t>
      </w:r>
    </w:p>
    <w:p w14:paraId="34C7739D">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6.1.26 Consoante o art. 45 da Lei nº 9.784/1999,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6B081E84">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6.1.27 </w:t>
      </w:r>
      <w:bookmarkStart w:id="3" w:name="docs-internal-guid-a7b5893c-7fff-d8f6-e4"/>
      <w:bookmarkEnd w:id="3"/>
      <w:r>
        <w:rPr>
          <w:rFonts w:hint="default" w:ascii="Arial" w:hAnsi="Arial" w:cs="Arial" w:eastAsiaTheme="majorEastAsia"/>
          <w:b w:val="0"/>
          <w:bCs w:val="0"/>
          <w:lang w:val="en-US" w:eastAsia="pt-BR"/>
        </w:rPr>
        <w:t xml:space="preserve">A liquidação será realizada pela Secretaria de Fazenda, a partir do cumprimento das obrigações elencadas no Termo de Referência, em obediência ao Decreto nº 2.493, de 07 de novembro de 2023 e o Decreto nº 3.116 de 18 de Setembro de 2024, </w:t>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"https://pmnf.rj.gov.br/paginas-centralizadas/9_64_Legislacoes.html." \h </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lang w:val="en-US" w:eastAsia="pt-BR"/>
        </w:rPr>
        <w:t>https://pmnf.rj.gov.br/paginas-centralizadas/9_64_Legislacoes.html.</w:t>
      </w:r>
      <w:r>
        <w:rPr>
          <w:rFonts w:hint="default" w:ascii="Arial" w:hAnsi="Arial" w:cs="Arial" w:eastAsiaTheme="majorEastAsia"/>
          <w:b w:val="0"/>
          <w:bCs w:val="0"/>
          <w:lang w:val="en-US" w:eastAsia="pt-BR"/>
        </w:rPr>
        <w:fldChar w:fldCharType="end"/>
      </w:r>
    </w:p>
    <w:p w14:paraId="3D4DCAE7">
      <w:pPr>
        <w:pStyle w:val="19"/>
        <w:tabs>
          <w:tab w:val="left" w:pos="284"/>
        </w:tabs>
        <w:spacing w:line="276" w:lineRule="auto"/>
        <w:ind w:left="0"/>
        <w:jc w:val="both"/>
        <w:rPr>
          <w:rFonts w:hint="default" w:ascii="Arial" w:hAnsi="Arial" w:cs="Arial" w:eastAsiaTheme="majorEastAsia"/>
          <w:b w:val="0"/>
          <w:bCs w:val="0"/>
          <w:u w:val="single"/>
          <w:lang w:val="en-US" w:eastAsia="pt-BR"/>
        </w:rPr>
      </w:pPr>
      <w:r>
        <w:rPr>
          <w:rFonts w:hint="default" w:ascii="Arial" w:hAnsi="Arial" w:cs="Arial" w:eastAsiaTheme="majorEastAsia"/>
          <w:b w:val="0"/>
          <w:bCs w:val="0"/>
          <w:u w:val="single"/>
          <w:lang w:val="en-US" w:eastAsia="pt-BR"/>
        </w:rPr>
        <w:t>Reajuste:</w:t>
      </w:r>
    </w:p>
    <w:p w14:paraId="752B438B">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6.1.28 Após o interregno de um ano, os preços iniciais serão reajustados mediante a aplicação do índice IPCA (Índice Nacional de Preços ao Consumidor Amplo), exclusivamente para as obrigações iniciadas e concluídas após a ocorrência da anualidade, observadas as seguintes condições:</w:t>
      </w:r>
    </w:p>
    <w:p w14:paraId="183130C2">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6.1.28.1 A concessão do reajuste fica condicionada à expressa solicitação do Contratado, que deverá ser apresentada antes da celebração de qualquer aditivo de prorrogação de vigência contratual, acompanhada da documentação comprobatória da variação do índice no período.</w:t>
      </w:r>
    </w:p>
    <w:p w14:paraId="4698F452">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6.1.28.2 A ausência de solicitação de reajuste pelo Contratado antes da formalização do aditamento, sem ressalva de sua superveniente análise, será considerada como renúncia ou preclusão lógica do direito ao reajuste do período correspondente.</w:t>
      </w:r>
    </w:p>
    <w:p w14:paraId="7FFED095">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6.1.29 Nos reajustes subsequentes ao primeiro, o interregno mínimo de um ano será contado a partir dos efeitos financeiros do último reajuste.</w:t>
      </w:r>
    </w:p>
    <w:p w14:paraId="432D8B0D">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6.1.30 No caso de atraso ou não divulgação do índice de reajustamento, o Contratante pagará ao Contratado a importância calculada pela última variação conhecida, liquidando a diferença correspondente tão logo seja divulgado o índice definitivo.</w:t>
      </w:r>
    </w:p>
    <w:p w14:paraId="72910E1B">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6.1.31 Caso o índice estabelecido para reajustamento venha a ser extinto ou de qualquer forma não possa mais ser utilizado, será adotado, em substituição, o que vier a ser determinado pela legislação então em vigor. Na ausência de previsão legal quanto ao índice substituto, as partes elegerão novo índice oficial por meio de termo aditivo.</w:t>
      </w:r>
    </w:p>
    <w:p w14:paraId="333274F5">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6.1.32 O reajuste será realizado por apostilamento.</w:t>
      </w:r>
    </w:p>
    <w:p w14:paraId="1B84EAE0">
      <w:pPr>
        <w:pStyle w:val="19"/>
        <w:tabs>
          <w:tab w:val="left" w:pos="284"/>
        </w:tabs>
        <w:spacing w:line="276" w:lineRule="auto"/>
        <w:ind w:left="0"/>
        <w:jc w:val="both"/>
        <w:rPr>
          <w:rFonts w:hint="default" w:ascii="Arial" w:hAnsi="Arial" w:cs="Arial" w:eastAsiaTheme="majorEastAsia"/>
          <w:b/>
          <w:bCs/>
          <w:lang w:val="en-US" w:eastAsia="pt-BR"/>
        </w:rPr>
      </w:pPr>
    </w:p>
    <w:p w14:paraId="00AD47E6">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238857E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14:paraId="30EE39A3">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14:paraId="44C7649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31C123C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702061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296A3A23">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1DDDCCA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05C24F6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2415C589">
      <w:pPr>
        <w:widowControl/>
        <w:tabs>
          <w:tab w:val="left" w:pos="426"/>
        </w:tabs>
        <w:autoSpaceDE/>
        <w:autoSpaceDN/>
        <w:spacing w:before="120" w:after="120" w:line="276" w:lineRule="auto"/>
        <w:jc w:val="both"/>
        <w:rPr>
          <w:rFonts w:ascii="Arial" w:hAnsi="Arial" w:cs="Arial"/>
          <w:bCs/>
          <w:i/>
          <w:color w:val="FF0000"/>
        </w:rPr>
      </w:pPr>
    </w:p>
    <w:p w14:paraId="40BD9A4C">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0A6F1EE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7D7BF489">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2FDCE15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40B9A77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5B24F5EC">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26254F8E">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276A8E7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2D6FBF8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054C52DE">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07BFA3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32D5226C">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54D37CD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59C7C8A">
      <w:pPr>
        <w:pStyle w:val="19"/>
        <w:widowControl/>
        <w:tabs>
          <w:tab w:val="left" w:pos="426"/>
        </w:tabs>
        <w:autoSpaceDE/>
        <w:autoSpaceDN/>
        <w:spacing w:before="120" w:after="120" w:line="276" w:lineRule="auto"/>
        <w:ind w:left="862"/>
        <w:jc w:val="both"/>
        <w:rPr>
          <w:rFonts w:ascii="Arial" w:hAnsi="Arial" w:cs="Arial"/>
          <w:bCs/>
          <w:iCs/>
          <w:lang w:val="pt-BR"/>
        </w:rPr>
      </w:pPr>
    </w:p>
    <w:p w14:paraId="7F6E28A4">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4416DD0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5C80C30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A79C76D">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14:paraId="591600B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345BEA58">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00BFC718">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E9B4F78">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044D2AF">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0AA5A5A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4FE66449">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44D61D4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5406B28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74C218E3">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14:paraId="2BFBC0D6">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14:paraId="1F379FF5">
      <w:pPr>
        <w:pStyle w:val="45"/>
        <w:numPr>
          <w:ilvl w:val="1"/>
          <w:numId w:val="3"/>
        </w:numPr>
        <w:rPr>
          <w:sz w:val="22"/>
          <w:szCs w:val="22"/>
        </w:rPr>
      </w:pPr>
      <w:r>
        <w:rPr>
          <w:sz w:val="22"/>
          <w:szCs w:val="22"/>
        </w:rPr>
        <w:t xml:space="preserve">Guardar sigilo sobre todas as informações obtidas em decorrência do cumprimento do contrato; </w:t>
      </w:r>
    </w:p>
    <w:p w14:paraId="03EC6290">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14:paraId="71C314A6">
      <w:pPr>
        <w:pStyle w:val="45"/>
        <w:numPr>
          <w:ilvl w:val="1"/>
          <w:numId w:val="3"/>
        </w:numPr>
        <w:rPr>
          <w:sz w:val="22"/>
          <w:szCs w:val="22"/>
        </w:rPr>
      </w:pPr>
      <w:r>
        <w:rPr>
          <w:sz w:val="22"/>
          <w:szCs w:val="22"/>
        </w:rPr>
        <w:t>Cumprir, além dos postulados legais vigentes de âmbito federal, estadual ou municipal, as normas de segurança do contratante.</w:t>
      </w:r>
    </w:p>
    <w:p w14:paraId="3F501DE8">
      <w:pPr>
        <w:pStyle w:val="19"/>
        <w:tabs>
          <w:tab w:val="left" w:pos="284"/>
        </w:tabs>
        <w:spacing w:line="276" w:lineRule="auto"/>
        <w:ind w:left="0"/>
        <w:rPr>
          <w:rFonts w:ascii="Arial" w:hAnsi="Arial" w:cs="Arial" w:eastAsiaTheme="majorEastAsia"/>
          <w:b/>
          <w:bCs/>
          <w:lang w:val="pt-BR" w:eastAsia="pt-BR"/>
        </w:rPr>
      </w:pPr>
    </w:p>
    <w:p w14:paraId="49085942">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2F7EDD1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75C4D2C7">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6BA3F9A4">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7B62FB09">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41654ECA">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16CDFA5E">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389CA9F0">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46BDBCBF">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797D27EB">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025FD430">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4C0D1666">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0BDC25A7">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36ABE20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61C69073">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4" w:name="_Hlk114504069"/>
      <w:r>
        <w:rPr>
          <w:rStyle w:val="9"/>
          <w:rFonts w:ascii="Arial" w:hAnsi="Arial" w:eastAsia="Arial" w:cs="Arial"/>
        </w:rPr>
        <w:t>Lei nº 14.133, de 2021</w:t>
      </w:r>
      <w:bookmarkEnd w:id="4"/>
      <w:r>
        <w:rPr>
          <w:rStyle w:val="9"/>
          <w:rFonts w:ascii="Arial" w:hAnsi="Arial" w:eastAsia="Arial" w:cs="Arial"/>
        </w:rPr>
        <w:fldChar w:fldCharType="end"/>
      </w:r>
      <w:r>
        <w:rPr>
          <w:rFonts w:ascii="Arial" w:hAnsi="Arial" w:eastAsia="Arial" w:cs="Arial"/>
        </w:rPr>
        <w:t>);</w:t>
      </w:r>
    </w:p>
    <w:p w14:paraId="405F4D96">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266B99FE">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543170F5">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57C4704E">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3380C103">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027A17AF">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3F8374D0">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7BC60917">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71A538E4">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3FA76220">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1970B0A8">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6613055C">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4B3F5E30">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618127CA">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71B3FCD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11BA9022">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0CF4A4C5">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3EF287C9">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00B1BA17">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07E76360">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49A3A834">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5DF6552F">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0E4E68C1">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5DE8162A">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1F945546">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46D23C56">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3693A2A2">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2D247CDE">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218563C0">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14:paraId="3DC46F62">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798E1469">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7F29DE97">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539B80FA">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58865F6C">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1E63AB8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64603EA0">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7360F2FC">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2B142F51">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61D4C23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0AB465FE">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53084312">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0A043434">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4A6588D9">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4626B865">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28284C9">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14:paraId="3DE76E32">
      <w:pPr>
        <w:spacing w:line="276" w:lineRule="auto"/>
        <w:jc w:val="both"/>
        <w:rPr>
          <w:rFonts w:ascii="Calibri" w:hAnsi="Calibri" w:cs="Calibri"/>
          <w:sz w:val="22"/>
          <w:szCs w:val="22"/>
        </w:rPr>
      </w:pPr>
      <w:r>
        <w:rPr>
          <w:rFonts w:hint="default" w:ascii="Arial" w:hAnsi="Arial" w:cs="Arial"/>
          <w:b w:val="0"/>
          <w:bCs w:val="0"/>
          <w:sz w:val="22"/>
          <w:szCs w:val="22"/>
          <w:lang w:val="pt-BR"/>
        </w:rPr>
        <w:t xml:space="preserve">13.1 </w:t>
      </w:r>
      <w:r>
        <w:rPr>
          <w:rFonts w:ascii="Arial" w:hAnsi="Arial" w:eastAsia="Verdana" w:cs="Arial"/>
          <w:sz w:val="22"/>
          <w:szCs w:val="22"/>
          <w:lang w:val="pt-PT" w:eastAsia="en-US" w:bidi="ar-SA"/>
        </w:rPr>
        <w:t>As despesas decorrentes da presente contratação correrão à conta de recursos específicos consignados no Orçamento do Município de Nova Friburgo/RJ, na forma abaixo:</w:t>
      </w:r>
    </w:p>
    <w:p w14:paraId="05F482A8">
      <w:pPr>
        <w:spacing w:before="80" w:line="276" w:lineRule="auto"/>
        <w:rPr>
          <w:rFonts w:ascii="Calibri" w:hAnsi="Calibri" w:cs="Calibri"/>
          <w:sz w:val="22"/>
          <w:szCs w:val="22"/>
        </w:rPr>
      </w:pPr>
    </w:p>
    <w:tbl>
      <w:tblPr>
        <w:tblStyle w:val="6"/>
        <w:tblW w:w="90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284"/>
        <w:gridCol w:w="2423"/>
        <w:gridCol w:w="2122"/>
        <w:gridCol w:w="2242"/>
      </w:tblGrid>
      <w:tr w14:paraId="6FDAA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trPr>
        <w:tc>
          <w:tcPr>
            <w:tcW w:w="2295" w:type="dxa"/>
            <w:tcBorders>
              <w:top w:val="single" w:color="BDBDBD" w:sz="4" w:space="0"/>
              <w:left w:val="single" w:color="BDBDBD" w:sz="4" w:space="0"/>
              <w:bottom w:val="single" w:color="BDBDBD" w:sz="4" w:space="0"/>
              <w:right w:val="single" w:color="BDBDBD" w:sz="4" w:space="0"/>
            </w:tcBorders>
            <w:shd w:val="clear" w:color="auto" w:fill="1F3864"/>
            <w:tcMar>
              <w:top w:w="60" w:type="dxa"/>
              <w:left w:w="100" w:type="dxa"/>
              <w:bottom w:w="60" w:type="dxa"/>
              <w:right w:w="100" w:type="dxa"/>
            </w:tcMar>
            <w:vAlign w:val="center"/>
          </w:tcPr>
          <w:p w14:paraId="21E074E9">
            <w:pPr>
              <w:jc w:val="center"/>
              <w:rPr>
                <w:rFonts w:ascii="Calibri" w:hAnsi="Calibri" w:cs="Calibri"/>
                <w:sz w:val="22"/>
                <w:szCs w:val="22"/>
              </w:rPr>
            </w:pPr>
            <w:r>
              <w:rPr>
                <w:rFonts w:ascii="Calibri" w:hAnsi="Calibri" w:cs="Calibri"/>
                <w:b/>
                <w:bCs/>
                <w:color w:val="FFFFFF"/>
                <w:sz w:val="22"/>
                <w:szCs w:val="22"/>
              </w:rPr>
              <w:t>Órgão/Unidade</w:t>
            </w:r>
          </w:p>
        </w:tc>
        <w:tc>
          <w:tcPr>
            <w:tcW w:w="2378" w:type="dxa"/>
            <w:tcBorders>
              <w:top w:val="single" w:color="BDBDBD" w:sz="4" w:space="0"/>
              <w:left w:val="single" w:color="BDBDBD" w:sz="4" w:space="0"/>
              <w:bottom w:val="single" w:color="BDBDBD" w:sz="4" w:space="0"/>
              <w:right w:val="single" w:color="BDBDBD" w:sz="4" w:space="0"/>
            </w:tcBorders>
            <w:shd w:val="clear" w:color="auto" w:fill="1F3864"/>
            <w:tcMar>
              <w:top w:w="60" w:type="dxa"/>
              <w:left w:w="100" w:type="dxa"/>
              <w:bottom w:w="60" w:type="dxa"/>
              <w:right w:w="100" w:type="dxa"/>
            </w:tcMar>
            <w:vAlign w:val="center"/>
          </w:tcPr>
          <w:p w14:paraId="18EA4051">
            <w:pPr>
              <w:jc w:val="center"/>
              <w:rPr>
                <w:rFonts w:ascii="Calibri" w:hAnsi="Calibri" w:cs="Calibri"/>
                <w:sz w:val="22"/>
                <w:szCs w:val="22"/>
              </w:rPr>
            </w:pPr>
            <w:r>
              <w:rPr>
                <w:rFonts w:ascii="Calibri" w:hAnsi="Calibri" w:cs="Calibri"/>
                <w:b/>
                <w:bCs/>
                <w:color w:val="FFFFFF"/>
                <w:sz w:val="22"/>
                <w:szCs w:val="22"/>
              </w:rPr>
              <w:t>Programa de Trabalho</w:t>
            </w:r>
          </w:p>
        </w:tc>
        <w:tc>
          <w:tcPr>
            <w:tcW w:w="2140" w:type="dxa"/>
            <w:tcBorders>
              <w:top w:val="single" w:color="BDBDBD" w:sz="4" w:space="0"/>
              <w:left w:val="single" w:color="BDBDBD" w:sz="4" w:space="0"/>
              <w:bottom w:val="single" w:color="BDBDBD" w:sz="4" w:space="0"/>
              <w:right w:val="single" w:color="BDBDBD" w:sz="4" w:space="0"/>
            </w:tcBorders>
            <w:shd w:val="clear" w:color="auto" w:fill="1F3864"/>
            <w:tcMar>
              <w:top w:w="60" w:type="dxa"/>
              <w:left w:w="100" w:type="dxa"/>
              <w:bottom w:w="60" w:type="dxa"/>
              <w:right w:w="100" w:type="dxa"/>
            </w:tcMar>
            <w:vAlign w:val="center"/>
          </w:tcPr>
          <w:p w14:paraId="5ACC5B24">
            <w:pPr>
              <w:jc w:val="center"/>
              <w:rPr>
                <w:rFonts w:ascii="Calibri" w:hAnsi="Calibri" w:cs="Calibri"/>
                <w:sz w:val="22"/>
                <w:szCs w:val="22"/>
              </w:rPr>
            </w:pPr>
            <w:r>
              <w:rPr>
                <w:rFonts w:ascii="Calibri" w:hAnsi="Calibri" w:cs="Calibri"/>
                <w:b/>
                <w:bCs/>
                <w:color w:val="FFFFFF"/>
                <w:sz w:val="22"/>
                <w:szCs w:val="22"/>
              </w:rPr>
              <w:t>Fonte de Recursos</w:t>
            </w:r>
          </w:p>
        </w:tc>
        <w:tc>
          <w:tcPr>
            <w:tcW w:w="2258" w:type="dxa"/>
            <w:tcBorders>
              <w:top w:val="single" w:color="BDBDBD" w:sz="4" w:space="0"/>
              <w:left w:val="single" w:color="BDBDBD" w:sz="4" w:space="0"/>
              <w:bottom w:val="single" w:color="BDBDBD" w:sz="4" w:space="0"/>
              <w:right w:val="single" w:color="BDBDBD" w:sz="4" w:space="0"/>
            </w:tcBorders>
            <w:shd w:val="clear" w:color="auto" w:fill="1F3864"/>
            <w:tcMar>
              <w:top w:w="60" w:type="dxa"/>
              <w:left w:w="100" w:type="dxa"/>
              <w:bottom w:w="60" w:type="dxa"/>
              <w:right w:w="100" w:type="dxa"/>
            </w:tcMar>
            <w:vAlign w:val="center"/>
          </w:tcPr>
          <w:p w14:paraId="73AB2EF4">
            <w:pPr>
              <w:jc w:val="center"/>
              <w:rPr>
                <w:rFonts w:ascii="Calibri" w:hAnsi="Calibri" w:cs="Calibri"/>
                <w:sz w:val="22"/>
                <w:szCs w:val="22"/>
              </w:rPr>
            </w:pPr>
            <w:r>
              <w:rPr>
                <w:rFonts w:ascii="Calibri" w:hAnsi="Calibri" w:cs="Calibri"/>
                <w:b/>
                <w:bCs/>
                <w:color w:val="FFFFFF"/>
                <w:sz w:val="22"/>
                <w:szCs w:val="22"/>
              </w:rPr>
              <w:t>Elemento de Despesa</w:t>
            </w:r>
          </w:p>
        </w:tc>
      </w:tr>
      <w:tr w14:paraId="628CD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295" w:type="dxa"/>
            <w:tcBorders>
              <w:top w:val="single" w:color="BDBDBD" w:sz="4" w:space="0"/>
              <w:left w:val="single" w:color="BDBDBD" w:sz="4" w:space="0"/>
              <w:bottom w:val="single" w:color="BDBDBD" w:sz="4" w:space="0"/>
              <w:right w:val="single" w:color="BDBDBD" w:sz="4" w:space="0"/>
            </w:tcBorders>
            <w:tcMar>
              <w:top w:w="60" w:type="dxa"/>
              <w:left w:w="100" w:type="dxa"/>
              <w:bottom w:w="60" w:type="dxa"/>
              <w:right w:w="100" w:type="dxa"/>
            </w:tcMar>
            <w:vAlign w:val="center"/>
          </w:tcPr>
          <w:p w14:paraId="1681FB76">
            <w:pPr>
              <w:jc w:val="center"/>
              <w:rPr>
                <w:rFonts w:ascii="Calibri" w:hAnsi="Calibri" w:cs="Calibri"/>
                <w:sz w:val="22"/>
                <w:szCs w:val="22"/>
              </w:rPr>
            </w:pPr>
            <w:r>
              <w:rPr>
                <w:rFonts w:ascii="Calibri" w:hAnsi="Calibri" w:cs="Calibri"/>
                <w:sz w:val="22"/>
                <w:szCs w:val="22"/>
              </w:rPr>
              <w:t>SAÚDE BUCAL</w:t>
            </w:r>
          </w:p>
        </w:tc>
        <w:tc>
          <w:tcPr>
            <w:tcW w:w="2378" w:type="dxa"/>
            <w:tcBorders>
              <w:top w:val="single" w:color="BDBDBD" w:sz="4" w:space="0"/>
              <w:left w:val="single" w:color="BDBDBD" w:sz="4" w:space="0"/>
              <w:bottom w:val="single" w:color="BDBDBD" w:sz="4" w:space="0"/>
              <w:right w:val="single" w:color="BDBDBD" w:sz="4" w:space="0"/>
            </w:tcBorders>
            <w:tcMar>
              <w:top w:w="60" w:type="dxa"/>
              <w:left w:w="100" w:type="dxa"/>
              <w:bottom w:w="60" w:type="dxa"/>
              <w:right w:w="100" w:type="dxa"/>
            </w:tcMar>
            <w:vAlign w:val="center"/>
          </w:tcPr>
          <w:p w14:paraId="695CDA1A">
            <w:pPr>
              <w:jc w:val="center"/>
              <w:rPr>
                <w:rFonts w:ascii="Calibri" w:hAnsi="Calibri" w:cs="Calibri"/>
                <w:sz w:val="22"/>
                <w:szCs w:val="22"/>
              </w:rPr>
            </w:pPr>
            <w:r>
              <w:rPr>
                <w:rFonts w:ascii="Calibri" w:hAnsi="Calibri" w:cs="Calibri"/>
                <w:sz w:val="22"/>
                <w:szCs w:val="22"/>
              </w:rPr>
              <w:t>36001 .10.302.1003.2.13</w:t>
            </w:r>
          </w:p>
        </w:tc>
        <w:tc>
          <w:tcPr>
            <w:tcW w:w="2140" w:type="dxa"/>
            <w:tcBorders>
              <w:top w:val="single" w:color="BDBDBD" w:sz="4" w:space="0"/>
              <w:left w:val="single" w:color="BDBDBD" w:sz="4" w:space="0"/>
              <w:bottom w:val="single" w:color="BDBDBD" w:sz="4" w:space="0"/>
              <w:right w:val="single" w:color="BDBDBD" w:sz="4" w:space="0"/>
            </w:tcBorders>
            <w:tcMar>
              <w:top w:w="60" w:type="dxa"/>
              <w:left w:w="100" w:type="dxa"/>
              <w:bottom w:w="60" w:type="dxa"/>
              <w:right w:w="100" w:type="dxa"/>
            </w:tcMar>
            <w:vAlign w:val="center"/>
          </w:tcPr>
          <w:p w14:paraId="271813AE">
            <w:pPr>
              <w:jc w:val="center"/>
              <w:rPr>
                <w:rFonts w:ascii="Calibri" w:hAnsi="Calibri" w:cs="Calibri"/>
                <w:sz w:val="22"/>
                <w:szCs w:val="22"/>
              </w:rPr>
            </w:pPr>
            <w:r>
              <w:rPr>
                <w:rFonts w:ascii="Calibri" w:hAnsi="Calibri" w:cs="Calibri"/>
                <w:sz w:val="22"/>
                <w:szCs w:val="22"/>
              </w:rPr>
              <w:t>1600</w:t>
            </w:r>
          </w:p>
        </w:tc>
        <w:tc>
          <w:tcPr>
            <w:tcW w:w="2258" w:type="dxa"/>
            <w:tcBorders>
              <w:top w:val="single" w:color="BDBDBD" w:sz="4" w:space="0"/>
              <w:left w:val="single" w:color="BDBDBD" w:sz="4" w:space="0"/>
              <w:bottom w:val="single" w:color="BDBDBD" w:sz="4" w:space="0"/>
              <w:right w:val="single" w:color="BDBDBD" w:sz="4" w:space="0"/>
            </w:tcBorders>
            <w:tcMar>
              <w:top w:w="60" w:type="dxa"/>
              <w:left w:w="100" w:type="dxa"/>
              <w:bottom w:w="60" w:type="dxa"/>
              <w:right w:w="100" w:type="dxa"/>
            </w:tcMar>
            <w:vAlign w:val="center"/>
          </w:tcPr>
          <w:p w14:paraId="093D5393">
            <w:pPr>
              <w:jc w:val="center"/>
              <w:rPr>
                <w:rFonts w:ascii="Calibri" w:hAnsi="Calibri" w:cs="Calibri"/>
                <w:sz w:val="22"/>
                <w:szCs w:val="22"/>
              </w:rPr>
            </w:pPr>
            <w:r>
              <w:rPr>
                <w:rFonts w:ascii="Calibri" w:hAnsi="Calibri" w:cs="Calibri"/>
                <w:sz w:val="22"/>
                <w:szCs w:val="22"/>
              </w:rPr>
              <w:t>3.3.90.30.10</w:t>
            </w:r>
          </w:p>
        </w:tc>
      </w:tr>
    </w:tbl>
    <w:p w14:paraId="0678B0B9">
      <w:pPr>
        <w:spacing w:before="80" w:line="276" w:lineRule="auto"/>
        <w:rPr>
          <w:rFonts w:ascii="Calibri" w:hAnsi="Calibri" w:cs="Calibri"/>
          <w:sz w:val="22"/>
          <w:szCs w:val="22"/>
        </w:rPr>
      </w:pPr>
    </w:p>
    <w:p w14:paraId="3C44E423">
      <w:pPr>
        <w:spacing w:line="276" w:lineRule="auto"/>
        <w:jc w:val="both"/>
        <w:rPr>
          <w:rFonts w:ascii="Arial" w:hAnsi="Arial" w:eastAsia="Verdana" w:cs="Arial"/>
          <w:sz w:val="22"/>
          <w:szCs w:val="22"/>
          <w:lang w:val="pt-PT" w:eastAsia="en-US" w:bidi="ar-SA"/>
        </w:rPr>
      </w:pPr>
      <w:r>
        <w:rPr>
          <w:rFonts w:hint="default" w:ascii="Arial" w:hAnsi="Arial" w:eastAsia="Verdana" w:cs="Arial"/>
          <w:sz w:val="22"/>
          <w:szCs w:val="22"/>
          <w:lang w:val="pt-BR" w:eastAsia="en-US" w:bidi="ar-SA"/>
        </w:rPr>
        <w:t>13.2</w:t>
      </w:r>
      <w:r>
        <w:rPr>
          <w:rFonts w:ascii="Arial" w:hAnsi="Arial" w:eastAsia="Verdana" w:cs="Arial"/>
          <w:sz w:val="22"/>
          <w:szCs w:val="22"/>
          <w:lang w:val="pt-PT" w:eastAsia="en-US" w:bidi="ar-SA"/>
        </w:rPr>
        <w:t xml:space="preserve"> A dotação relativa aos exercícios financeiros subsequentes será indicada após aprovação da Lei Orçamentária respectiva e liberação dos créditos correspondentes, mediante apostilamento.</w:t>
      </w:r>
    </w:p>
    <w:p w14:paraId="7CC3F42A">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14:paraId="4A17E4CF">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14:paraId="454BB5BF">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4F66B586">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20CFCB72">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578B9E73">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609FFC45">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14:paraId="651E9CAA">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4F96478B">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14:paraId="1A1CDE83">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6F1366E9">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044EC622">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16429156">
      <w:pPr>
        <w:spacing w:before="120" w:after="120" w:line="276" w:lineRule="auto"/>
        <w:jc w:val="both"/>
        <w:rPr>
          <w:rFonts w:ascii="Arial" w:hAnsi="Arial" w:cs="Arial"/>
        </w:rPr>
      </w:pPr>
    </w:p>
    <w:p w14:paraId="4061EC07">
      <w:pPr>
        <w:spacing w:after="120" w:line="360" w:lineRule="auto"/>
        <w:ind w:right="-15"/>
        <w:jc w:val="right"/>
        <w:rPr>
          <w:rFonts w:ascii="Arial" w:hAnsi="Arial" w:cs="Arial"/>
        </w:rPr>
      </w:pPr>
      <w:r>
        <w:rPr>
          <w:rFonts w:ascii="Arial" w:hAnsi="Arial" w:cs="Arial"/>
        </w:rPr>
        <w:t>...........................................,  .......... de.......................................... de 2026.</w:t>
      </w:r>
    </w:p>
    <w:p w14:paraId="48267753">
      <w:pPr>
        <w:spacing w:after="120"/>
        <w:jc w:val="center"/>
        <w:rPr>
          <w:rFonts w:ascii="Arial" w:hAnsi="Arial" w:cs="Arial"/>
          <w:bCs/>
        </w:rPr>
      </w:pPr>
    </w:p>
    <w:p w14:paraId="6FEE8A0B">
      <w:pPr>
        <w:spacing w:after="120"/>
        <w:jc w:val="center"/>
        <w:rPr>
          <w:rFonts w:ascii="Arial" w:hAnsi="Arial" w:cs="Arial"/>
          <w:bCs/>
        </w:rPr>
      </w:pPr>
      <w:r>
        <w:rPr>
          <w:rFonts w:ascii="Arial" w:hAnsi="Arial" w:cs="Arial"/>
          <w:bCs/>
        </w:rPr>
        <w:t>_________________________</w:t>
      </w:r>
    </w:p>
    <w:p w14:paraId="08E235BA">
      <w:pPr>
        <w:spacing w:after="120"/>
        <w:jc w:val="center"/>
        <w:rPr>
          <w:rFonts w:ascii="Arial" w:hAnsi="Arial" w:cs="Arial"/>
          <w:bCs/>
        </w:rPr>
      </w:pPr>
      <w:r>
        <w:rPr>
          <w:rFonts w:ascii="Arial" w:hAnsi="Arial" w:cs="Arial"/>
          <w:bCs/>
        </w:rPr>
        <w:t>Responsável legal da CONTRATANTE</w:t>
      </w:r>
    </w:p>
    <w:p w14:paraId="016C3640">
      <w:pPr>
        <w:spacing w:after="120"/>
        <w:jc w:val="center"/>
        <w:rPr>
          <w:rFonts w:ascii="Arial" w:hAnsi="Arial" w:cs="Arial"/>
        </w:rPr>
      </w:pPr>
    </w:p>
    <w:p w14:paraId="13E58417">
      <w:pPr>
        <w:spacing w:after="120"/>
        <w:jc w:val="center"/>
        <w:rPr>
          <w:rFonts w:ascii="Arial" w:hAnsi="Arial" w:cs="Arial"/>
        </w:rPr>
      </w:pPr>
      <w:r>
        <w:rPr>
          <w:rFonts w:ascii="Arial" w:hAnsi="Arial" w:cs="Arial"/>
        </w:rPr>
        <w:t>_________________________</w:t>
      </w:r>
    </w:p>
    <w:p w14:paraId="287A35EC">
      <w:pPr>
        <w:spacing w:after="120"/>
        <w:jc w:val="center"/>
        <w:rPr>
          <w:rFonts w:ascii="Arial" w:hAnsi="Arial" w:cs="Arial"/>
        </w:rPr>
      </w:pPr>
      <w:r>
        <w:rPr>
          <w:rFonts w:ascii="Arial" w:hAnsi="Arial" w:cs="Arial"/>
        </w:rPr>
        <w:t>Responsável legal da CONTRATADA</w:t>
      </w:r>
    </w:p>
    <w:p w14:paraId="627E1712">
      <w:pPr>
        <w:spacing w:after="120"/>
        <w:jc w:val="both"/>
        <w:rPr>
          <w:rFonts w:ascii="Arial" w:hAnsi="Arial" w:cs="Arial"/>
        </w:rPr>
      </w:pPr>
    </w:p>
    <w:p w14:paraId="66D0B1F6">
      <w:pPr>
        <w:spacing w:after="120"/>
        <w:jc w:val="both"/>
        <w:rPr>
          <w:rFonts w:ascii="Arial" w:hAnsi="Arial" w:cs="Arial"/>
        </w:rPr>
      </w:pPr>
      <w:r>
        <w:rPr>
          <w:rFonts w:ascii="Arial" w:hAnsi="Arial" w:cs="Arial"/>
        </w:rPr>
        <w:t>TESTEMUNHAS:</w:t>
      </w:r>
    </w:p>
    <w:p w14:paraId="6576D492">
      <w:pPr>
        <w:spacing w:after="120"/>
        <w:jc w:val="both"/>
        <w:rPr>
          <w:rFonts w:ascii="Arial" w:hAnsi="Arial" w:cs="Arial"/>
        </w:rPr>
      </w:pPr>
      <w:r>
        <w:rPr>
          <w:rFonts w:ascii="Arial" w:hAnsi="Arial" w:cs="Arial"/>
        </w:rPr>
        <w:t>1-</w:t>
      </w:r>
    </w:p>
    <w:p w14:paraId="11B06506">
      <w:pPr>
        <w:spacing w:after="120"/>
        <w:jc w:val="both"/>
        <w:rPr>
          <w:rFonts w:ascii="Arial" w:hAnsi="Arial" w:cs="Arial"/>
        </w:rPr>
      </w:pPr>
      <w:r>
        <w:rPr>
          <w:rFonts w:ascii="Arial" w:hAnsi="Arial" w:cs="Arial"/>
        </w:rPr>
        <w:t>2-</w:t>
      </w:r>
      <w:bookmarkStart w:id="5" w:name="_GoBack"/>
      <w:bookmarkEnd w:id="5"/>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6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182B0">
    <w:pPr>
      <w:pStyle w:val="15"/>
      <w:jc w:val="center"/>
      <w:rPr>
        <w:rFonts w:ascii="Azo Sans Md" w:hAnsi="Azo Sans Md"/>
        <w:b/>
        <w:bCs/>
        <w:color w:val="000000"/>
        <w:sz w:val="18"/>
        <w:szCs w:val="18"/>
      </w:rPr>
    </w:pPr>
  </w:p>
  <w:p w14:paraId="61D53811">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14:paraId="4A8D6D29">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14:paraId="675C9E36">
    <w:pPr>
      <w:pStyle w:val="15"/>
      <w:jc w:val="center"/>
      <w:rPr>
        <w:rFonts w:ascii="Arial" w:hAnsi="Arial" w:cs="Arial"/>
        <w:color w:val="000000"/>
        <w:sz w:val="18"/>
        <w:szCs w:val="18"/>
      </w:rPr>
    </w:pPr>
    <w:r>
      <w:rPr>
        <w:rFonts w:ascii="Arial" w:hAnsi="Arial" w:cs="Arial"/>
        <w:color w:val="000000"/>
        <w:sz w:val="18"/>
        <w:szCs w:val="18"/>
      </w:rPr>
      <w:t>(22) 2525-9101</w:t>
    </w:r>
  </w:p>
  <w:p w14:paraId="66E2820B">
    <w:pPr>
      <w:pStyle w:val="15"/>
      <w:jc w:val="center"/>
      <w:rPr>
        <w:rFonts w:ascii="Arial" w:hAnsi="Arial" w:cs="Arial"/>
        <w:color w:val="000000"/>
        <w:sz w:val="18"/>
        <w:szCs w:val="18"/>
      </w:rPr>
    </w:pPr>
  </w:p>
  <w:p w14:paraId="1D279611">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A7DBA">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D71DD">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C7185">
    <w:pPr>
      <w:pStyle w:val="14"/>
      <w:ind w:hanging="426"/>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0080" cy="1153795"/>
          <wp:effectExtent l="0" t="0" r="0" b="0"/>
          <wp:docPr id="1" name="Imagem 1" descr="Secretaria de Saú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14:paraId="51E12251">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35A9021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356DE">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D9A49">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11CC2ACE"/>
    <w:rsid w:val="1AB30370"/>
    <w:rsid w:val="1AF72D93"/>
    <w:rsid w:val="1DAD0811"/>
    <w:rsid w:val="1FD12E07"/>
    <w:rsid w:val="23915E7F"/>
    <w:rsid w:val="25F378FF"/>
    <w:rsid w:val="265E638F"/>
    <w:rsid w:val="28635B70"/>
    <w:rsid w:val="28791D59"/>
    <w:rsid w:val="290D743B"/>
    <w:rsid w:val="36D8576F"/>
    <w:rsid w:val="370F3137"/>
    <w:rsid w:val="3C4D19A5"/>
    <w:rsid w:val="3C9967A2"/>
    <w:rsid w:val="3D361311"/>
    <w:rsid w:val="3F9C4473"/>
    <w:rsid w:val="484B616F"/>
    <w:rsid w:val="4DC0560F"/>
    <w:rsid w:val="501F24D5"/>
    <w:rsid w:val="53B35FE9"/>
    <w:rsid w:val="579854F6"/>
    <w:rsid w:val="59CD35D1"/>
    <w:rsid w:val="5C237373"/>
    <w:rsid w:val="623C6820"/>
    <w:rsid w:val="655965EF"/>
    <w:rsid w:val="68532C20"/>
    <w:rsid w:val="6934713F"/>
    <w:rsid w:val="6E527C9F"/>
    <w:rsid w:val="6E73350F"/>
    <w:rsid w:val="70977144"/>
    <w:rsid w:val="71330626"/>
    <w:rsid w:val="749B1192"/>
    <w:rsid w:val="77B2358A"/>
    <w:rsid w:val="786E04B1"/>
    <w:rsid w:val="7AE7270A"/>
    <w:rsid w:val="7E943569"/>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19</Pages>
  <Words>5363</Words>
  <Characters>28963</Characters>
  <Lines>241</Lines>
  <Paragraphs>68</Paragraphs>
  <TotalTime>2</TotalTime>
  <ScaleCrop>false</ScaleCrop>
  <LinksUpToDate>false</LinksUpToDate>
  <CharactersWithSpaces>34258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louisa.spitz</cp:lastModifiedBy>
  <cp:lastPrinted>2023-08-22T17:19:00Z</cp:lastPrinted>
  <dcterms:modified xsi:type="dcterms:W3CDTF">2026-09-14T13:16:43Z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AA5E36BE2C9D4DA8923CD79FAA21EA6C_12</vt:lpwstr>
  </property>
</Properties>
</file>